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85FF" w14:textId="03536C45" w:rsidR="00701011" w:rsidRPr="00701011" w:rsidRDefault="00825FAA" w:rsidP="00194E2C">
      <w:pPr>
        <w:pStyle w:val="Heading1"/>
      </w:pPr>
      <w:r>
        <w:t>GRANT FUNDING GUIDELINES</w:t>
      </w:r>
    </w:p>
    <w:p w14:paraId="397E22E8" w14:textId="3416B00A" w:rsidR="007C42F0" w:rsidRDefault="00C1797D" w:rsidP="0019382D">
      <w:pPr>
        <w:pStyle w:val="Subtitle"/>
        <w:ind w:left="851"/>
        <w:jc w:val="right"/>
      </w:pPr>
      <w:r>
        <w:t>Category C – Central Queensland Bushfires</w:t>
      </w:r>
    </w:p>
    <w:p w14:paraId="336E4D75" w14:textId="457520F5" w:rsidR="000140F8" w:rsidRDefault="00C1797D" w:rsidP="0019382D">
      <w:pPr>
        <w:pStyle w:val="Subtitle"/>
        <w:ind w:left="851"/>
        <w:jc w:val="right"/>
      </w:pPr>
      <w:r>
        <w:t>Flexible Funding Grants Program – Round Three</w:t>
      </w:r>
    </w:p>
    <w:p w14:paraId="386724F2" w14:textId="0C99BE3F" w:rsidR="00AF090D" w:rsidRDefault="00C1797D" w:rsidP="0019382D">
      <w:pPr>
        <w:ind w:left="851"/>
        <w:jc w:val="right"/>
        <w:rPr>
          <w:rStyle w:val="SubtleEmphasis"/>
        </w:rPr>
      </w:pPr>
      <w:r>
        <w:rPr>
          <w:rStyle w:val="SubtleEmphasis"/>
        </w:rPr>
        <w:t>2021-2022</w:t>
      </w:r>
    </w:p>
    <w:p w14:paraId="23BE394D" w14:textId="182376E6" w:rsidR="00C604D2" w:rsidRPr="00C604D2" w:rsidRDefault="00C604D2" w:rsidP="002B1AB4">
      <w:pPr>
        <w:spacing w:before="1440" w:after="0" w:line="480" w:lineRule="auto"/>
        <w:rPr>
          <w:rFonts w:ascii="Arial Nova Light" w:hAnsi="Arial Nova Light" w:cs="Arial"/>
          <w:b/>
          <w:sz w:val="32"/>
          <w:szCs w:val="32"/>
        </w:rPr>
      </w:pPr>
      <w:r w:rsidRPr="0002591D">
        <w:rPr>
          <w:rFonts w:ascii="Arial Nova Light" w:hAnsi="Arial Nova Light" w:cs="Arial"/>
          <w:b/>
          <w:sz w:val="32"/>
          <w:szCs w:val="32"/>
        </w:rPr>
        <w:t>Opening date</w:t>
      </w:r>
      <w:r>
        <w:rPr>
          <w:rFonts w:ascii="Arial Nova Light" w:hAnsi="Arial Nova Light" w:cs="Arial"/>
          <w:b/>
          <w:sz w:val="32"/>
          <w:szCs w:val="32"/>
        </w:rPr>
        <w:t xml:space="preserve"> and time</w:t>
      </w:r>
      <w:r w:rsidRPr="0002591D">
        <w:rPr>
          <w:rFonts w:ascii="Arial Nova Light" w:hAnsi="Arial Nova Light" w:cs="Arial"/>
          <w:b/>
          <w:sz w:val="32"/>
          <w:szCs w:val="32"/>
        </w:rPr>
        <w:t>:</w:t>
      </w:r>
      <w:r>
        <w:rPr>
          <w:rFonts w:ascii="Arial Nova Light" w:hAnsi="Arial Nova Light" w:cs="Arial"/>
          <w:b/>
          <w:sz w:val="32"/>
          <w:szCs w:val="32"/>
        </w:rPr>
        <w:t xml:space="preserve">  </w:t>
      </w:r>
      <w:r w:rsidRPr="00C604D2">
        <w:rPr>
          <w:rFonts w:ascii="Arial Nova Light" w:hAnsi="Arial Nova Light" w:cs="Arial"/>
          <w:bCs/>
          <w:sz w:val="32"/>
          <w:szCs w:val="32"/>
        </w:rPr>
        <w:t>Wednesday 2</w:t>
      </w:r>
      <w:r w:rsidR="00B6211A">
        <w:rPr>
          <w:rFonts w:ascii="Arial Nova Light" w:hAnsi="Arial Nova Light" w:cs="Arial"/>
          <w:bCs/>
          <w:sz w:val="32"/>
          <w:szCs w:val="32"/>
        </w:rPr>
        <w:t>7</w:t>
      </w:r>
      <w:r w:rsidRPr="00C604D2">
        <w:rPr>
          <w:rFonts w:ascii="Arial Nova Light" w:hAnsi="Arial Nova Light" w:cs="Arial"/>
          <w:bCs/>
          <w:sz w:val="32"/>
          <w:szCs w:val="32"/>
        </w:rPr>
        <w:t xml:space="preserve"> October 2021, 9:00am</w:t>
      </w:r>
    </w:p>
    <w:p w14:paraId="17F06355" w14:textId="5F35036C" w:rsidR="00C604D2" w:rsidRDefault="00C604D2" w:rsidP="002B1AB4">
      <w:pPr>
        <w:spacing w:after="0" w:line="480" w:lineRule="auto"/>
        <w:rPr>
          <w:rFonts w:ascii="Arial Nova Light" w:hAnsi="Arial Nova Light" w:cs="Arial"/>
          <w:b/>
          <w:sz w:val="32"/>
          <w:szCs w:val="32"/>
        </w:rPr>
      </w:pPr>
      <w:r w:rsidRPr="00C604D2">
        <w:rPr>
          <w:rFonts w:ascii="Arial Nova Light" w:hAnsi="Arial Nova Light" w:cs="Arial"/>
          <w:b/>
          <w:sz w:val="32"/>
          <w:szCs w:val="32"/>
        </w:rPr>
        <w:t xml:space="preserve">Closing date and time:  </w:t>
      </w:r>
      <w:r w:rsidRPr="00C604D2">
        <w:rPr>
          <w:rFonts w:ascii="Arial Nova Light" w:hAnsi="Arial Nova Light" w:cs="Arial"/>
          <w:bCs/>
          <w:sz w:val="32"/>
          <w:szCs w:val="32"/>
        </w:rPr>
        <w:t xml:space="preserve">Thursday </w:t>
      </w:r>
      <w:r w:rsidR="00B6211A">
        <w:rPr>
          <w:rFonts w:ascii="Arial Nova Light" w:hAnsi="Arial Nova Light" w:cs="Arial"/>
          <w:bCs/>
          <w:sz w:val="32"/>
          <w:szCs w:val="32"/>
        </w:rPr>
        <w:t>25</w:t>
      </w:r>
      <w:r w:rsidRPr="00C604D2">
        <w:rPr>
          <w:rFonts w:ascii="Arial Nova Light" w:hAnsi="Arial Nova Light" w:cs="Arial"/>
          <w:bCs/>
          <w:sz w:val="32"/>
          <w:szCs w:val="32"/>
        </w:rPr>
        <w:t xml:space="preserve"> November 2021, </w:t>
      </w:r>
      <w:r w:rsidRPr="00C604D2">
        <w:rPr>
          <w:rFonts w:ascii="Arial Nova Light" w:hAnsi="Arial Nova Light" w:cs="Arial"/>
          <w:b/>
          <w:sz w:val="32"/>
          <w:szCs w:val="32"/>
        </w:rPr>
        <w:t>2:00pm</w:t>
      </w:r>
    </w:p>
    <w:p w14:paraId="3FD177B2" w14:textId="11B41E25" w:rsidR="002B1AB4" w:rsidRDefault="006D3698" w:rsidP="002B1AB4">
      <w:pPr>
        <w:spacing w:after="0" w:line="480" w:lineRule="auto"/>
        <w:rPr>
          <w:rStyle w:val="SubtleEmphasis"/>
        </w:rPr>
      </w:pPr>
      <w:r>
        <w:rPr>
          <w:rFonts w:ascii="Arial Nova Light" w:hAnsi="Arial Nova Light" w:cs="Arial"/>
          <w:b/>
          <w:sz w:val="32"/>
          <w:szCs w:val="32"/>
        </w:rPr>
        <w:t xml:space="preserve">Funding period:  </w:t>
      </w:r>
      <w:r>
        <w:rPr>
          <w:rFonts w:ascii="Arial Nova Light" w:hAnsi="Arial Nova Light" w:cs="Arial"/>
          <w:bCs/>
          <w:sz w:val="32"/>
          <w:szCs w:val="32"/>
        </w:rPr>
        <w:t>January 2022 to 31 December 2022</w:t>
      </w:r>
      <w:r w:rsidR="002B1AB4">
        <w:rPr>
          <w:rStyle w:val="SubtleEmphasis"/>
        </w:rPr>
        <w:br w:type="page"/>
      </w:r>
    </w:p>
    <w:p w14:paraId="6C06E717" w14:textId="33F5A260" w:rsidR="00825FAA" w:rsidRDefault="00825FAA" w:rsidP="00194E2C">
      <w:pPr>
        <w:pStyle w:val="Heading2"/>
      </w:pPr>
      <w:r w:rsidRPr="00194E2C">
        <w:lastRenderedPageBreak/>
        <w:t>About</w:t>
      </w:r>
      <w:r w:rsidRPr="00175DBB">
        <w:t xml:space="preserve"> this grant program</w:t>
      </w:r>
    </w:p>
    <w:p w14:paraId="5FDC5277" w14:textId="77777777" w:rsidR="00825FAA" w:rsidRPr="00BE1D49" w:rsidRDefault="00825FAA" w:rsidP="00825FAA">
      <w:pPr>
        <w:jc w:val="both"/>
        <w:rPr>
          <w:sz w:val="8"/>
          <w:szCs w:val="8"/>
          <w:lang w:eastAsia="en-AU"/>
        </w:rPr>
      </w:pPr>
    </w:p>
    <w:p w14:paraId="22EB3D35" w14:textId="31FDFC05" w:rsidR="00825FAA" w:rsidRPr="00825FAA" w:rsidRDefault="00825FAA" w:rsidP="002B1AB4">
      <w:pPr>
        <w:ind w:left="72"/>
        <w:rPr>
          <w:rFonts w:cs="Arial"/>
          <w:sz w:val="22"/>
          <w:lang w:val="en-GB"/>
        </w:rPr>
      </w:pPr>
      <w:r w:rsidRPr="00825FAA">
        <w:rPr>
          <w:rFonts w:cs="Arial"/>
          <w:sz w:val="22"/>
          <w:lang w:val="en-GB"/>
        </w:rPr>
        <w:t xml:space="preserve">Funding of </w:t>
      </w:r>
      <w:r w:rsidRPr="008402F0">
        <w:rPr>
          <w:rFonts w:cs="Arial"/>
          <w:sz w:val="22"/>
          <w:lang w:val="en-GB"/>
        </w:rPr>
        <w:t>$</w:t>
      </w:r>
      <w:r w:rsidR="004A0193" w:rsidRPr="008402F0">
        <w:rPr>
          <w:rFonts w:cs="Arial"/>
          <w:sz w:val="22"/>
          <w:lang w:val="en-GB"/>
        </w:rPr>
        <w:t>943 272</w:t>
      </w:r>
      <w:r w:rsidRPr="008402F0">
        <w:rPr>
          <w:rFonts w:cs="Arial"/>
          <w:sz w:val="22"/>
          <w:lang w:val="en-GB"/>
        </w:rPr>
        <w:t xml:space="preserve"> excluding</w:t>
      </w:r>
      <w:r w:rsidRPr="00825FAA">
        <w:rPr>
          <w:rFonts w:cs="Arial"/>
          <w:sz w:val="22"/>
          <w:lang w:val="en-GB"/>
        </w:rPr>
        <w:t xml:space="preserve"> GST is available to provide a third round of flexible grants in response to the </w:t>
      </w:r>
      <w:hyperlink r:id="rId11" w:history="1">
        <w:r w:rsidRPr="00825FAA">
          <w:rPr>
            <w:rStyle w:val="Hyperlink"/>
            <w:rFonts w:cs="Arial"/>
            <w:sz w:val="22"/>
            <w:lang w:val="en-GB"/>
          </w:rPr>
          <w:t>Central Queensland Bushfires 2018</w:t>
        </w:r>
      </w:hyperlink>
      <w:r w:rsidRPr="00825FAA">
        <w:rPr>
          <w:rFonts w:cs="Arial"/>
          <w:sz w:val="22"/>
          <w:lang w:val="en-GB"/>
        </w:rPr>
        <w:t xml:space="preserve"> to non-government organisations, community groups and local governments in the disaster affected local government areas of </w:t>
      </w:r>
      <w:r w:rsidRPr="00825FAA">
        <w:rPr>
          <w:rFonts w:cs="Arial"/>
          <w:b/>
          <w:bCs/>
          <w:sz w:val="22"/>
          <w:lang w:val="en-GB"/>
        </w:rPr>
        <w:t>Banana, Bundaberg, Central Highlands, Gladstone, Isaac, Livingstone, Mackay and Rockhampton</w:t>
      </w:r>
      <w:r w:rsidR="00D66294">
        <w:rPr>
          <w:rFonts w:cs="Arial"/>
          <w:sz w:val="22"/>
          <w:lang w:val="en-GB"/>
        </w:rPr>
        <w:t xml:space="preserve">. The funding is for </w:t>
      </w:r>
      <w:r w:rsidRPr="00825FAA">
        <w:rPr>
          <w:rFonts w:cs="Arial"/>
          <w:sz w:val="22"/>
          <w:lang w:val="en-GB"/>
        </w:rPr>
        <w:t>implement</w:t>
      </w:r>
      <w:r w:rsidR="00D66294">
        <w:rPr>
          <w:rFonts w:cs="Arial"/>
          <w:sz w:val="22"/>
          <w:lang w:val="en-GB"/>
        </w:rPr>
        <w:t>ing</w:t>
      </w:r>
      <w:r w:rsidRPr="00825FAA">
        <w:rPr>
          <w:rFonts w:cs="Arial"/>
          <w:sz w:val="22"/>
          <w:lang w:val="en-GB"/>
        </w:rPr>
        <w:t xml:space="preserve"> projects aimed at driving recovery and building awareness to:</w:t>
      </w:r>
    </w:p>
    <w:p w14:paraId="1C91070A" w14:textId="77777777" w:rsidR="00825FAA" w:rsidRPr="00825FAA" w:rsidRDefault="00825FAA" w:rsidP="00825FAA">
      <w:pPr>
        <w:pStyle w:val="ListParagraph"/>
        <w:numPr>
          <w:ilvl w:val="0"/>
          <w:numId w:val="27"/>
        </w:numPr>
        <w:spacing w:after="0"/>
        <w:jc w:val="both"/>
        <w:rPr>
          <w:rFonts w:cs="Arial"/>
          <w:sz w:val="22"/>
        </w:rPr>
      </w:pPr>
      <w:r w:rsidRPr="00825FAA">
        <w:rPr>
          <w:rFonts w:cs="Arial"/>
          <w:sz w:val="22"/>
          <w:lang w:val="en-GB"/>
        </w:rPr>
        <w:t>reduce future risks and minimise community dependence on government assistance</w:t>
      </w:r>
    </w:p>
    <w:p w14:paraId="02C7BF9C" w14:textId="77777777" w:rsidR="00825FAA" w:rsidRPr="00825FAA" w:rsidRDefault="00825FAA" w:rsidP="00825FAA">
      <w:pPr>
        <w:pStyle w:val="ListParagraph"/>
        <w:numPr>
          <w:ilvl w:val="0"/>
          <w:numId w:val="27"/>
        </w:numPr>
        <w:spacing w:after="0"/>
        <w:rPr>
          <w:rFonts w:cs="Arial"/>
          <w:sz w:val="22"/>
          <w:lang w:val="en-GB"/>
        </w:rPr>
      </w:pPr>
      <w:r w:rsidRPr="00825FAA">
        <w:rPr>
          <w:rFonts w:cs="Arial"/>
          <w:sz w:val="22"/>
          <w:lang w:val="en-GB"/>
        </w:rPr>
        <w:t xml:space="preserve">enhance self-efficacy and community-efficacy </w:t>
      </w:r>
    </w:p>
    <w:p w14:paraId="440E8742" w14:textId="77777777" w:rsidR="00825FAA" w:rsidRPr="00825FAA" w:rsidRDefault="00825FAA" w:rsidP="00825FAA">
      <w:pPr>
        <w:pStyle w:val="ListParagraph"/>
        <w:numPr>
          <w:ilvl w:val="0"/>
          <w:numId w:val="27"/>
        </w:numPr>
        <w:spacing w:after="0"/>
        <w:rPr>
          <w:rFonts w:cs="Arial"/>
          <w:sz w:val="22"/>
          <w:lang w:val="en-GB"/>
        </w:rPr>
      </w:pPr>
      <w:r w:rsidRPr="00825FAA">
        <w:rPr>
          <w:rFonts w:cs="Arial"/>
          <w:sz w:val="22"/>
          <w:lang w:val="en-GB"/>
        </w:rPr>
        <w:t xml:space="preserve">minimise negative impacts and embrace opportunities </w:t>
      </w:r>
    </w:p>
    <w:p w14:paraId="7C67C2AC" w14:textId="77777777" w:rsidR="00825FAA" w:rsidRPr="00825FAA" w:rsidRDefault="00825FAA" w:rsidP="00825FAA">
      <w:pPr>
        <w:pStyle w:val="ListParagraph"/>
        <w:numPr>
          <w:ilvl w:val="0"/>
          <w:numId w:val="27"/>
        </w:numPr>
        <w:spacing w:after="0"/>
        <w:rPr>
          <w:rFonts w:cs="Arial"/>
          <w:sz w:val="22"/>
          <w:lang w:val="en-GB"/>
        </w:rPr>
      </w:pPr>
      <w:r w:rsidRPr="00825FAA">
        <w:rPr>
          <w:rFonts w:cs="Arial"/>
          <w:sz w:val="22"/>
          <w:lang w:val="en-GB"/>
        </w:rPr>
        <w:t>promote connectedness, encourage support networks and social inclusion</w:t>
      </w:r>
    </w:p>
    <w:p w14:paraId="33A42D35" w14:textId="77777777" w:rsidR="00825FAA" w:rsidRPr="00825FAA" w:rsidRDefault="00825FAA" w:rsidP="00825FAA">
      <w:pPr>
        <w:pStyle w:val="ListParagraph"/>
        <w:numPr>
          <w:ilvl w:val="0"/>
          <w:numId w:val="27"/>
        </w:numPr>
        <w:spacing w:after="0"/>
        <w:rPr>
          <w:rFonts w:cs="Arial"/>
          <w:sz w:val="22"/>
          <w:lang w:val="en-GB"/>
        </w:rPr>
      </w:pPr>
      <w:r w:rsidRPr="00825FAA">
        <w:rPr>
          <w:rFonts w:cs="Arial"/>
          <w:sz w:val="22"/>
          <w:lang w:val="en-GB"/>
        </w:rPr>
        <w:t>support and promote opportunities for sustainable economic recovery</w:t>
      </w:r>
    </w:p>
    <w:p w14:paraId="3C67134F" w14:textId="77777777" w:rsidR="00825FAA" w:rsidRPr="00825FAA" w:rsidRDefault="00825FAA" w:rsidP="00825FAA">
      <w:pPr>
        <w:pStyle w:val="ListParagraph"/>
        <w:numPr>
          <w:ilvl w:val="0"/>
          <w:numId w:val="27"/>
        </w:numPr>
        <w:spacing w:after="0"/>
        <w:rPr>
          <w:rFonts w:cs="Arial"/>
          <w:sz w:val="22"/>
          <w:lang w:val="en-GB"/>
        </w:rPr>
      </w:pPr>
      <w:r w:rsidRPr="00825FAA">
        <w:rPr>
          <w:rFonts w:cs="Arial"/>
          <w:sz w:val="22"/>
          <w:lang w:val="en-GB"/>
        </w:rPr>
        <w:t>support business and service provider continuity</w:t>
      </w:r>
    </w:p>
    <w:p w14:paraId="595C9B5C" w14:textId="77777777" w:rsidR="00825FAA" w:rsidRPr="00825FAA" w:rsidRDefault="00825FAA" w:rsidP="00825FAA">
      <w:pPr>
        <w:pStyle w:val="ListParagraph"/>
        <w:numPr>
          <w:ilvl w:val="0"/>
          <w:numId w:val="27"/>
        </w:numPr>
        <w:spacing w:after="0"/>
        <w:rPr>
          <w:rFonts w:cs="Arial"/>
          <w:sz w:val="22"/>
          <w:lang w:val="en-GB"/>
        </w:rPr>
      </w:pPr>
      <w:r w:rsidRPr="00825FAA">
        <w:rPr>
          <w:rFonts w:cs="Arial"/>
          <w:sz w:val="22"/>
          <w:lang w:val="en-GB"/>
        </w:rPr>
        <w:t xml:space="preserve">promote preparedness and resilience to future disasters. </w:t>
      </w:r>
    </w:p>
    <w:p w14:paraId="50C0F435" w14:textId="77777777" w:rsidR="00825FAA" w:rsidRDefault="00825FAA" w:rsidP="002B1AB4">
      <w:pPr>
        <w:rPr>
          <w:rFonts w:cs="Arial"/>
          <w:lang w:val="en-GB"/>
        </w:rPr>
      </w:pPr>
    </w:p>
    <w:p w14:paraId="156582A7" w14:textId="2C3E487C" w:rsidR="00825FAA" w:rsidRPr="00825FAA" w:rsidRDefault="00825FAA" w:rsidP="002B1AB4">
      <w:pPr>
        <w:spacing w:before="240"/>
        <w:rPr>
          <w:rFonts w:cs="Arial"/>
          <w:sz w:val="22"/>
          <w:szCs w:val="24"/>
          <w:lang w:val="en-GB"/>
        </w:rPr>
      </w:pPr>
      <w:r w:rsidRPr="00825FAA">
        <w:rPr>
          <w:rFonts w:cs="Arial"/>
          <w:sz w:val="22"/>
          <w:szCs w:val="24"/>
          <w:lang w:val="en-GB"/>
        </w:rPr>
        <w:t xml:space="preserve">Funded projects </w:t>
      </w:r>
      <w:r w:rsidR="00D66294">
        <w:rPr>
          <w:rFonts w:cs="Arial"/>
          <w:sz w:val="22"/>
          <w:szCs w:val="24"/>
          <w:lang w:val="en-GB"/>
        </w:rPr>
        <w:t>must</w:t>
      </w:r>
      <w:r w:rsidRPr="00825FAA">
        <w:rPr>
          <w:rFonts w:cs="Arial"/>
          <w:sz w:val="22"/>
          <w:szCs w:val="24"/>
          <w:lang w:val="en-GB"/>
        </w:rPr>
        <w:t xml:space="preserve"> contribute to one or more of the following Disaster Recovery Outcomes:</w:t>
      </w:r>
    </w:p>
    <w:p w14:paraId="4E2F742E" w14:textId="77777777" w:rsidR="00825FAA" w:rsidRPr="001939BB" w:rsidRDefault="00825FAA" w:rsidP="002B1AB4">
      <w:pPr>
        <w:pStyle w:val="ListParagraph"/>
        <w:numPr>
          <w:ilvl w:val="0"/>
          <w:numId w:val="28"/>
        </w:numPr>
        <w:spacing w:after="0"/>
        <w:ind w:left="714" w:hanging="357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t</w:t>
      </w:r>
      <w:r w:rsidRPr="001939BB">
        <w:rPr>
          <w:rFonts w:cs="Arial"/>
          <w:sz w:val="22"/>
          <w:lang w:val="en-GB"/>
        </w:rPr>
        <w:t>he needs of vulnerable groups are</w:t>
      </w:r>
      <w:r>
        <w:rPr>
          <w:rFonts w:cs="Arial"/>
          <w:sz w:val="22"/>
          <w:lang w:val="en-GB"/>
        </w:rPr>
        <w:t xml:space="preserve"> addressed in disaster recovery</w:t>
      </w:r>
    </w:p>
    <w:p w14:paraId="0D88EC25" w14:textId="77777777" w:rsidR="00825FAA" w:rsidRPr="001939BB" w:rsidRDefault="00825FAA" w:rsidP="002B1AB4">
      <w:pPr>
        <w:pStyle w:val="ListParagraph"/>
        <w:numPr>
          <w:ilvl w:val="0"/>
          <w:numId w:val="28"/>
        </w:numPr>
        <w:spacing w:after="0"/>
        <w:ind w:left="714" w:hanging="357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t</w:t>
      </w:r>
      <w:r w:rsidRPr="001939BB">
        <w:rPr>
          <w:rFonts w:cs="Arial"/>
          <w:sz w:val="22"/>
          <w:lang w:val="en-GB"/>
        </w:rPr>
        <w:t xml:space="preserve">he community is aware of the disaster </w:t>
      </w:r>
      <w:r>
        <w:rPr>
          <w:rFonts w:cs="Arial"/>
          <w:sz w:val="22"/>
          <w:lang w:val="en-GB"/>
        </w:rPr>
        <w:t>recovery processes</w:t>
      </w:r>
    </w:p>
    <w:p w14:paraId="58D7FC57" w14:textId="77777777" w:rsidR="00825FAA" w:rsidRPr="001939BB" w:rsidRDefault="00825FAA" w:rsidP="002B1AB4">
      <w:pPr>
        <w:pStyle w:val="ListParagraph"/>
        <w:numPr>
          <w:ilvl w:val="0"/>
          <w:numId w:val="28"/>
        </w:numPr>
        <w:spacing w:after="0"/>
        <w:ind w:left="714" w:hanging="357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t</w:t>
      </w:r>
      <w:r w:rsidRPr="001939BB">
        <w:rPr>
          <w:rFonts w:cs="Arial"/>
          <w:sz w:val="22"/>
          <w:lang w:val="en-GB"/>
        </w:rPr>
        <w:t>he community can express its c</w:t>
      </w:r>
      <w:r>
        <w:rPr>
          <w:rFonts w:cs="Arial"/>
          <w:sz w:val="22"/>
          <w:lang w:val="en-GB"/>
        </w:rPr>
        <w:t>hanging disaster recovery needs</w:t>
      </w:r>
    </w:p>
    <w:p w14:paraId="70F87895" w14:textId="77777777" w:rsidR="00825FAA" w:rsidRPr="001939BB" w:rsidRDefault="00825FAA" w:rsidP="002B1AB4">
      <w:pPr>
        <w:pStyle w:val="ListParagraph"/>
        <w:numPr>
          <w:ilvl w:val="0"/>
          <w:numId w:val="28"/>
        </w:numPr>
        <w:spacing w:after="0"/>
        <w:ind w:left="714" w:hanging="357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c</w:t>
      </w:r>
      <w:r w:rsidRPr="001939BB">
        <w:rPr>
          <w:rFonts w:cs="Arial"/>
          <w:sz w:val="22"/>
          <w:lang w:val="en-GB"/>
        </w:rPr>
        <w:t>ommunity members are aware o</w:t>
      </w:r>
      <w:r>
        <w:rPr>
          <w:rFonts w:cs="Arial"/>
          <w:sz w:val="22"/>
          <w:lang w:val="en-GB"/>
        </w:rPr>
        <w:t>f the risks of future disasters</w:t>
      </w:r>
    </w:p>
    <w:p w14:paraId="0736EA50" w14:textId="77777777" w:rsidR="00825FAA" w:rsidRPr="001939BB" w:rsidRDefault="00825FAA" w:rsidP="002B1AB4">
      <w:pPr>
        <w:pStyle w:val="ListParagraph"/>
        <w:numPr>
          <w:ilvl w:val="0"/>
          <w:numId w:val="28"/>
        </w:numPr>
        <w:spacing w:after="0"/>
        <w:ind w:left="714" w:hanging="357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t</w:t>
      </w:r>
      <w:r w:rsidRPr="001939BB">
        <w:rPr>
          <w:rFonts w:cs="Arial"/>
          <w:sz w:val="22"/>
          <w:lang w:val="en-GB"/>
        </w:rPr>
        <w:t>he community has improved capacity and capability to respond to future disasters</w:t>
      </w:r>
    </w:p>
    <w:p w14:paraId="60C7AE0A" w14:textId="77777777" w:rsidR="00825FAA" w:rsidRPr="001939BB" w:rsidRDefault="00825FAA" w:rsidP="002B1AB4">
      <w:pPr>
        <w:pStyle w:val="ListParagraph"/>
        <w:numPr>
          <w:ilvl w:val="0"/>
          <w:numId w:val="28"/>
        </w:numPr>
        <w:spacing w:after="0"/>
        <w:ind w:left="714" w:hanging="357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b</w:t>
      </w:r>
      <w:r w:rsidRPr="001939BB">
        <w:rPr>
          <w:rFonts w:cs="Arial"/>
          <w:sz w:val="22"/>
          <w:lang w:val="en-GB"/>
        </w:rPr>
        <w:t>usiness and not</w:t>
      </w:r>
      <w:r>
        <w:rPr>
          <w:rFonts w:cs="Arial"/>
          <w:sz w:val="22"/>
          <w:lang w:val="en-GB"/>
        </w:rPr>
        <w:t>-</w:t>
      </w:r>
      <w:r w:rsidRPr="001939BB">
        <w:rPr>
          <w:rFonts w:cs="Arial"/>
          <w:sz w:val="22"/>
          <w:lang w:val="en-GB"/>
        </w:rPr>
        <w:t>for</w:t>
      </w:r>
      <w:r>
        <w:rPr>
          <w:rFonts w:cs="Arial"/>
          <w:sz w:val="22"/>
          <w:lang w:val="en-GB"/>
        </w:rPr>
        <w:t>-</w:t>
      </w:r>
      <w:r w:rsidRPr="001939BB">
        <w:rPr>
          <w:rFonts w:cs="Arial"/>
          <w:sz w:val="22"/>
          <w:lang w:val="en-GB"/>
        </w:rPr>
        <w:t>profit</w:t>
      </w:r>
      <w:r>
        <w:rPr>
          <w:rFonts w:cs="Arial"/>
          <w:sz w:val="22"/>
          <w:lang w:val="en-GB"/>
        </w:rPr>
        <w:t xml:space="preserve"> organisation</w:t>
      </w:r>
      <w:r w:rsidRPr="001939BB">
        <w:rPr>
          <w:rFonts w:cs="Arial"/>
          <w:sz w:val="22"/>
          <w:lang w:val="en-GB"/>
        </w:rPr>
        <w:t>s have in place adequate mitigation practices for risks and threats</w:t>
      </w:r>
    </w:p>
    <w:p w14:paraId="676CB190" w14:textId="3CB4A661" w:rsidR="00825FAA" w:rsidRPr="001939BB" w:rsidRDefault="00825FAA" w:rsidP="002B1AB4">
      <w:pPr>
        <w:pStyle w:val="ListParagraph"/>
        <w:numPr>
          <w:ilvl w:val="0"/>
          <w:numId w:val="28"/>
        </w:numPr>
        <w:spacing w:after="0"/>
        <w:ind w:left="714" w:hanging="357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>g</w:t>
      </w:r>
      <w:r w:rsidRPr="001939BB">
        <w:rPr>
          <w:rFonts w:cs="Arial"/>
          <w:sz w:val="22"/>
          <w:lang w:val="en-GB"/>
        </w:rPr>
        <w:t xml:space="preserve">overnment, private sector, civil </w:t>
      </w:r>
      <w:r w:rsidR="006701AD" w:rsidRPr="001939BB">
        <w:rPr>
          <w:rFonts w:cs="Arial"/>
          <w:sz w:val="22"/>
          <w:lang w:val="en-GB"/>
        </w:rPr>
        <w:t>society,</w:t>
      </w:r>
      <w:r w:rsidRPr="001939BB">
        <w:rPr>
          <w:rFonts w:cs="Arial"/>
          <w:sz w:val="22"/>
          <w:lang w:val="en-GB"/>
        </w:rPr>
        <w:t xml:space="preserve"> and organisations are engaged in plans for mitigation and management of the recovery.</w:t>
      </w:r>
    </w:p>
    <w:p w14:paraId="4FE4CBC9" w14:textId="77777777" w:rsidR="00825FAA" w:rsidRDefault="00825FAA" w:rsidP="002B1AB4">
      <w:pPr>
        <w:ind w:left="72"/>
        <w:rPr>
          <w:rFonts w:cs="Arial"/>
          <w:lang w:val="en-GB"/>
        </w:rPr>
      </w:pPr>
    </w:p>
    <w:p w14:paraId="176ABC22" w14:textId="180F238D" w:rsidR="00825FAA" w:rsidRPr="00825FAA" w:rsidRDefault="00825FAA" w:rsidP="002B1AB4">
      <w:pPr>
        <w:ind w:left="72"/>
        <w:rPr>
          <w:rFonts w:cs="Arial"/>
          <w:sz w:val="22"/>
          <w:szCs w:val="24"/>
          <w:lang w:val="en-GB"/>
        </w:rPr>
      </w:pPr>
      <w:r w:rsidRPr="00825FAA">
        <w:rPr>
          <w:rFonts w:cs="Arial"/>
          <w:sz w:val="22"/>
          <w:szCs w:val="24"/>
          <w:lang w:val="en-GB"/>
        </w:rPr>
        <w:t xml:space="preserve">Projects must </w:t>
      </w:r>
      <w:r>
        <w:rPr>
          <w:rFonts w:cs="Arial"/>
          <w:sz w:val="22"/>
          <w:szCs w:val="24"/>
          <w:lang w:val="en-GB"/>
        </w:rPr>
        <w:t>align</w:t>
      </w:r>
      <w:r w:rsidRPr="00825FAA">
        <w:rPr>
          <w:rFonts w:cs="Arial"/>
          <w:sz w:val="22"/>
          <w:szCs w:val="24"/>
          <w:lang w:val="en-GB"/>
        </w:rPr>
        <w:t xml:space="preserve"> with national disaster resilience and recovery outcomes (not limited to human and social recovery), the </w:t>
      </w:r>
      <w:hyperlink r:id="rId12" w:history="1">
        <w:r w:rsidRPr="00825FAA">
          <w:rPr>
            <w:rStyle w:val="Hyperlink"/>
            <w:rFonts w:cs="Arial"/>
            <w:sz w:val="22"/>
            <w:szCs w:val="24"/>
            <w:lang w:val="en-GB"/>
          </w:rPr>
          <w:t>National Strategy for Disaster Resilience</w:t>
        </w:r>
      </w:hyperlink>
      <w:r w:rsidRPr="00825FAA">
        <w:rPr>
          <w:rFonts w:cs="Arial"/>
          <w:sz w:val="22"/>
          <w:szCs w:val="24"/>
          <w:lang w:val="en-GB"/>
        </w:rPr>
        <w:t xml:space="preserve">, and the </w:t>
      </w:r>
      <w:hyperlink r:id="rId13" w:history="1">
        <w:r w:rsidRPr="00825FAA">
          <w:rPr>
            <w:rStyle w:val="Hyperlink"/>
            <w:rFonts w:cs="Arial"/>
            <w:sz w:val="22"/>
            <w:szCs w:val="24"/>
          </w:rPr>
          <w:t>National Disaster Recovery Principles</w:t>
        </w:r>
      </w:hyperlink>
      <w:r w:rsidRPr="00825FAA">
        <w:rPr>
          <w:rFonts w:cs="Arial"/>
          <w:sz w:val="22"/>
          <w:szCs w:val="24"/>
          <w:lang w:val="en-GB"/>
        </w:rPr>
        <w:t xml:space="preserve"> as outlined in the </w:t>
      </w:r>
      <w:hyperlink r:id="rId14" w:history="1">
        <w:r w:rsidRPr="00825FAA">
          <w:rPr>
            <w:rStyle w:val="Hyperlink"/>
            <w:rFonts w:cs="Arial"/>
            <w:sz w:val="22"/>
            <w:szCs w:val="24"/>
            <w:lang w:val="en-GB"/>
          </w:rPr>
          <w:t>Queensland State Recovery Plan</w:t>
        </w:r>
      </w:hyperlink>
      <w:r w:rsidRPr="00825FAA">
        <w:rPr>
          <w:rFonts w:cs="Arial"/>
          <w:sz w:val="22"/>
          <w:szCs w:val="24"/>
          <w:lang w:val="en-GB"/>
        </w:rPr>
        <w:t xml:space="preserve"> and the </w:t>
      </w:r>
      <w:hyperlink r:id="rId15" w:history="1">
        <w:r w:rsidRPr="00825FAA">
          <w:rPr>
            <w:rFonts w:cs="Arial"/>
            <w:color w:val="007681" w:themeColor="hyperlink"/>
            <w:sz w:val="22"/>
            <w:szCs w:val="28"/>
            <w:u w:val="single"/>
            <w:lang w:val="en-GB"/>
          </w:rPr>
          <w:t>Community Recovery Handbook</w:t>
        </w:r>
      </w:hyperlink>
      <w:r w:rsidR="00D66294">
        <w:rPr>
          <w:rFonts w:cs="Arial"/>
          <w:sz w:val="22"/>
          <w:szCs w:val="24"/>
          <w:lang w:val="en-GB"/>
        </w:rPr>
        <w:t>. The outcomes are:</w:t>
      </w:r>
    </w:p>
    <w:p w14:paraId="092DE861" w14:textId="77777777" w:rsidR="00825FAA" w:rsidRPr="00825FAA" w:rsidRDefault="00825FAA" w:rsidP="002B1AB4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 w:firstLine="66"/>
        <w:rPr>
          <w:rFonts w:cs="Arial"/>
          <w:sz w:val="22"/>
          <w:szCs w:val="24"/>
        </w:rPr>
      </w:pPr>
      <w:r w:rsidRPr="00825FAA">
        <w:rPr>
          <w:rFonts w:cs="Arial"/>
          <w:sz w:val="22"/>
          <w:szCs w:val="24"/>
        </w:rPr>
        <w:t xml:space="preserve">understanding the </w:t>
      </w:r>
      <w:r w:rsidRPr="00825FAA">
        <w:rPr>
          <w:rFonts w:cs="Arial"/>
          <w:i/>
          <w:iCs/>
          <w:sz w:val="22"/>
          <w:szCs w:val="24"/>
        </w:rPr>
        <w:t>context</w:t>
      </w:r>
    </w:p>
    <w:p w14:paraId="41388E9B" w14:textId="77777777" w:rsidR="00825FAA" w:rsidRPr="00825FAA" w:rsidRDefault="00825FAA" w:rsidP="002B1AB4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 w:firstLine="66"/>
        <w:rPr>
          <w:rFonts w:cs="Arial"/>
          <w:sz w:val="22"/>
          <w:szCs w:val="24"/>
        </w:rPr>
      </w:pPr>
      <w:r w:rsidRPr="00825FAA">
        <w:rPr>
          <w:rFonts w:cs="Arial"/>
          <w:sz w:val="22"/>
          <w:szCs w:val="24"/>
        </w:rPr>
        <w:t xml:space="preserve">recognising </w:t>
      </w:r>
      <w:r w:rsidRPr="00825FAA">
        <w:rPr>
          <w:rFonts w:cs="Arial"/>
          <w:i/>
          <w:iCs/>
          <w:sz w:val="22"/>
          <w:szCs w:val="24"/>
        </w:rPr>
        <w:t>complexity</w:t>
      </w:r>
    </w:p>
    <w:p w14:paraId="31C3A115" w14:textId="77777777" w:rsidR="00825FAA" w:rsidRPr="00825FAA" w:rsidRDefault="00825FAA" w:rsidP="002B1AB4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 w:firstLine="66"/>
        <w:rPr>
          <w:rFonts w:cs="Arial"/>
          <w:sz w:val="22"/>
          <w:szCs w:val="24"/>
        </w:rPr>
      </w:pPr>
      <w:r w:rsidRPr="00825FAA">
        <w:rPr>
          <w:rFonts w:cs="Arial"/>
          <w:sz w:val="22"/>
          <w:szCs w:val="24"/>
        </w:rPr>
        <w:t xml:space="preserve">using local, </w:t>
      </w:r>
      <w:r w:rsidRPr="00825FAA">
        <w:rPr>
          <w:rFonts w:cs="Arial"/>
          <w:i/>
          <w:iCs/>
          <w:sz w:val="22"/>
          <w:szCs w:val="24"/>
        </w:rPr>
        <w:t>community-led</w:t>
      </w:r>
      <w:r w:rsidRPr="00825FAA">
        <w:rPr>
          <w:rFonts w:cs="Arial"/>
          <w:sz w:val="22"/>
          <w:szCs w:val="24"/>
        </w:rPr>
        <w:t xml:space="preserve"> approaches</w:t>
      </w:r>
    </w:p>
    <w:p w14:paraId="39077520" w14:textId="77777777" w:rsidR="00825FAA" w:rsidRPr="00825FAA" w:rsidRDefault="00825FAA" w:rsidP="002B1AB4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 w:firstLine="66"/>
        <w:rPr>
          <w:rFonts w:cs="Arial"/>
          <w:sz w:val="22"/>
          <w:szCs w:val="24"/>
        </w:rPr>
      </w:pPr>
      <w:r w:rsidRPr="00825FAA">
        <w:rPr>
          <w:rFonts w:cs="Arial"/>
          <w:sz w:val="22"/>
          <w:szCs w:val="24"/>
        </w:rPr>
        <w:t xml:space="preserve">ensuring </w:t>
      </w:r>
      <w:r w:rsidRPr="00825FAA">
        <w:rPr>
          <w:rFonts w:cs="Arial"/>
          <w:i/>
          <w:iCs/>
          <w:sz w:val="22"/>
          <w:szCs w:val="24"/>
        </w:rPr>
        <w:t>coordination</w:t>
      </w:r>
      <w:r w:rsidRPr="00825FAA">
        <w:rPr>
          <w:rFonts w:cs="Arial"/>
          <w:sz w:val="22"/>
          <w:szCs w:val="24"/>
        </w:rPr>
        <w:t xml:space="preserve"> of all activities</w:t>
      </w:r>
    </w:p>
    <w:p w14:paraId="6E2525F0" w14:textId="77777777" w:rsidR="00825FAA" w:rsidRPr="00825FAA" w:rsidRDefault="00825FAA" w:rsidP="002B1AB4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 w:firstLine="66"/>
        <w:rPr>
          <w:rFonts w:cs="Arial"/>
          <w:sz w:val="22"/>
          <w:szCs w:val="24"/>
        </w:rPr>
      </w:pPr>
      <w:r w:rsidRPr="00825FAA">
        <w:rPr>
          <w:rFonts w:cs="Arial"/>
          <w:sz w:val="22"/>
          <w:szCs w:val="24"/>
        </w:rPr>
        <w:t xml:space="preserve">employing effective </w:t>
      </w:r>
      <w:r w:rsidRPr="00825FAA">
        <w:rPr>
          <w:rFonts w:cs="Arial"/>
          <w:i/>
          <w:iCs/>
          <w:sz w:val="22"/>
          <w:szCs w:val="24"/>
        </w:rPr>
        <w:t>communication</w:t>
      </w:r>
    </w:p>
    <w:p w14:paraId="222D55CF" w14:textId="77777777" w:rsidR="00825FAA" w:rsidRPr="00825FAA" w:rsidRDefault="00825FAA" w:rsidP="002B1AB4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 w:firstLine="66"/>
        <w:rPr>
          <w:rFonts w:cs="Arial"/>
          <w:sz w:val="22"/>
          <w:szCs w:val="24"/>
        </w:rPr>
      </w:pPr>
      <w:r w:rsidRPr="00825FAA">
        <w:rPr>
          <w:rFonts w:cs="Arial"/>
          <w:sz w:val="22"/>
          <w:szCs w:val="24"/>
        </w:rPr>
        <w:t xml:space="preserve">acknowledging and building local </w:t>
      </w:r>
      <w:r w:rsidRPr="00825FAA">
        <w:rPr>
          <w:rFonts w:cs="Arial"/>
          <w:i/>
          <w:iCs/>
          <w:sz w:val="22"/>
          <w:szCs w:val="24"/>
        </w:rPr>
        <w:t>capacity</w:t>
      </w:r>
    </w:p>
    <w:p w14:paraId="4041B626" w14:textId="28C06182" w:rsidR="00825FAA" w:rsidRPr="00825FAA" w:rsidRDefault="00825FAA" w:rsidP="002B1AB4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360" w:firstLine="66"/>
        <w:rPr>
          <w:rFonts w:cs="Arial"/>
          <w:sz w:val="22"/>
          <w:szCs w:val="24"/>
        </w:rPr>
      </w:pPr>
      <w:r w:rsidRPr="00825FAA">
        <w:rPr>
          <w:rFonts w:cs="Arial"/>
          <w:sz w:val="22"/>
          <w:szCs w:val="24"/>
        </w:rPr>
        <w:t xml:space="preserve">identifying lessons and building </w:t>
      </w:r>
      <w:r w:rsidRPr="00825FAA">
        <w:rPr>
          <w:rFonts w:cs="Arial"/>
          <w:i/>
          <w:iCs/>
          <w:sz w:val="22"/>
          <w:szCs w:val="24"/>
        </w:rPr>
        <w:t>resilience</w:t>
      </w:r>
      <w:r w:rsidR="00C604D2">
        <w:rPr>
          <w:rFonts w:cs="Arial"/>
          <w:i/>
          <w:iCs/>
          <w:sz w:val="22"/>
          <w:szCs w:val="24"/>
        </w:rPr>
        <w:t>.</w:t>
      </w:r>
    </w:p>
    <w:p w14:paraId="234A9EDA" w14:textId="34375FA9" w:rsidR="00C1797D" w:rsidRDefault="00C1797D" w:rsidP="002B1AB4">
      <w:pPr>
        <w:rPr>
          <w:rStyle w:val="SubtleEmphasis"/>
          <w:sz w:val="22"/>
          <w:szCs w:val="24"/>
        </w:rPr>
      </w:pPr>
    </w:p>
    <w:p w14:paraId="4B5DA9B7" w14:textId="6CDFD52C" w:rsidR="00825FAA" w:rsidRDefault="00825FAA" w:rsidP="002B1AB4">
      <w:pPr>
        <w:rPr>
          <w:rStyle w:val="SubtleEmphasis"/>
          <w:i w:val="0"/>
          <w:iCs w:val="0"/>
          <w:color w:val="auto"/>
          <w:sz w:val="22"/>
          <w:szCs w:val="24"/>
        </w:rPr>
      </w:pPr>
      <w:r w:rsidRPr="00825FAA">
        <w:rPr>
          <w:rStyle w:val="SubtleEmphasis"/>
          <w:i w:val="0"/>
          <w:iCs w:val="0"/>
          <w:color w:val="auto"/>
          <w:sz w:val="22"/>
          <w:szCs w:val="24"/>
        </w:rPr>
        <w:t xml:space="preserve">Projects must be delivered to one or more of the </w:t>
      </w:r>
      <w:r>
        <w:rPr>
          <w:rStyle w:val="SubtleEmphasis"/>
          <w:i w:val="0"/>
          <w:iCs w:val="0"/>
          <w:color w:val="auto"/>
          <w:sz w:val="22"/>
          <w:szCs w:val="24"/>
        </w:rPr>
        <w:t>following priority target groups</w:t>
      </w:r>
      <w:r w:rsidR="00C604D2">
        <w:rPr>
          <w:rStyle w:val="SubtleEmphasis"/>
          <w:i w:val="0"/>
          <w:iCs w:val="0"/>
          <w:color w:val="auto"/>
          <w:sz w:val="22"/>
          <w:szCs w:val="24"/>
        </w:rPr>
        <w:t>:</w:t>
      </w:r>
    </w:p>
    <w:p w14:paraId="6201F091" w14:textId="0B46125D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children and families</w:t>
      </w:r>
    </w:p>
    <w:p w14:paraId="1A3B271F" w14:textId="5D8A01F8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young people</w:t>
      </w:r>
    </w:p>
    <w:p w14:paraId="127A6369" w14:textId="6DB4BA2B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Aboriginal and Torres Strait Islanders</w:t>
      </w:r>
    </w:p>
    <w:p w14:paraId="49570339" w14:textId="0EBDB285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culturally and linguistically diverse (CALD) communities</w:t>
      </w:r>
    </w:p>
    <w:p w14:paraId="1E7654F0" w14:textId="35C43124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people with disabilities</w:t>
      </w:r>
    </w:p>
    <w:p w14:paraId="429DFD88" w14:textId="04D1823E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seniors</w:t>
      </w:r>
    </w:p>
    <w:p w14:paraId="747E2A82" w14:textId="4D1F8800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small businesses</w:t>
      </w:r>
    </w:p>
    <w:p w14:paraId="4DB1418A" w14:textId="7B5A5CC2" w:rsidR="00C604D2" w:rsidRDefault="00C604D2" w:rsidP="002B1AB4">
      <w:pPr>
        <w:pStyle w:val="ListParagraph"/>
        <w:numPr>
          <w:ilvl w:val="0"/>
          <w:numId w:val="29"/>
        </w:numPr>
        <w:spacing w:after="0"/>
        <w:ind w:left="714" w:hanging="357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primary producers.</w:t>
      </w:r>
    </w:p>
    <w:p w14:paraId="54A56E0B" w14:textId="54118F15" w:rsidR="00C604D2" w:rsidRDefault="00C604D2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</w:p>
    <w:p w14:paraId="40AB08F2" w14:textId="46F76D5C" w:rsidR="00C604D2" w:rsidRDefault="00C604D2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 xml:space="preserve">Funding will be covered by the </w:t>
      </w:r>
      <w:hyperlink r:id="rId16" w:history="1">
        <w:r w:rsidRPr="00BB7144">
          <w:rPr>
            <w:rStyle w:val="Hyperlink"/>
            <w:sz w:val="22"/>
            <w:szCs w:val="24"/>
          </w:rPr>
          <w:t>Community Services Act 2007</w:t>
        </w:r>
      </w:hyperlink>
      <w:r>
        <w:rPr>
          <w:rStyle w:val="SubtleEmphasis"/>
          <w:i w:val="0"/>
          <w:iCs w:val="0"/>
          <w:color w:val="auto"/>
          <w:sz w:val="22"/>
          <w:szCs w:val="24"/>
        </w:rPr>
        <w:t xml:space="preserve">,and will be delivered in line with the </w:t>
      </w:r>
      <w:hyperlink r:id="rId17" w:history="1">
        <w:r w:rsidRPr="00BB7144">
          <w:rPr>
            <w:rStyle w:val="Hyperlink"/>
            <w:sz w:val="22"/>
            <w:szCs w:val="24"/>
          </w:rPr>
          <w:t>Disaster Recovery Funding Arrangement</w:t>
        </w:r>
        <w:r w:rsidR="00BB7144" w:rsidRPr="00BB7144">
          <w:rPr>
            <w:rStyle w:val="Hyperlink"/>
            <w:sz w:val="22"/>
            <w:szCs w:val="24"/>
          </w:rPr>
          <w:t>s</w:t>
        </w:r>
        <w:r w:rsidRPr="00BB7144">
          <w:rPr>
            <w:rStyle w:val="Hyperlink"/>
            <w:sz w:val="22"/>
            <w:szCs w:val="24"/>
          </w:rPr>
          <w:t xml:space="preserve"> 2018</w:t>
        </w:r>
      </w:hyperlink>
      <w:r>
        <w:rPr>
          <w:rStyle w:val="SubtleEmphasis"/>
          <w:i w:val="0"/>
          <w:iCs w:val="0"/>
          <w:color w:val="auto"/>
          <w:sz w:val="22"/>
          <w:szCs w:val="24"/>
        </w:rPr>
        <w:t>.</w:t>
      </w:r>
    </w:p>
    <w:p w14:paraId="1D2B3033" w14:textId="74BA6C8E" w:rsidR="00BB7144" w:rsidRDefault="00BB7144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</w:p>
    <w:p w14:paraId="2EE37D32" w14:textId="3EE54175" w:rsidR="00BB7144" w:rsidRDefault="006217E7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 xml:space="preserve">There </w:t>
      </w:r>
      <w:r w:rsidR="006701AD">
        <w:rPr>
          <w:rStyle w:val="SubtleEmphasis"/>
          <w:i w:val="0"/>
          <w:iCs w:val="0"/>
          <w:color w:val="auto"/>
          <w:sz w:val="22"/>
          <w:szCs w:val="24"/>
        </w:rPr>
        <w:t>are</w:t>
      </w:r>
      <w:r>
        <w:rPr>
          <w:rStyle w:val="SubtleEmphasis"/>
          <w:i w:val="0"/>
          <w:iCs w:val="0"/>
          <w:color w:val="auto"/>
          <w:sz w:val="22"/>
          <w:szCs w:val="24"/>
        </w:rPr>
        <w:t xml:space="preserve"> </w:t>
      </w:r>
      <w:r w:rsidR="00194E2C">
        <w:rPr>
          <w:rStyle w:val="SubtleEmphasis"/>
          <w:i w:val="0"/>
          <w:iCs w:val="0"/>
          <w:color w:val="auto"/>
          <w:sz w:val="22"/>
          <w:szCs w:val="24"/>
        </w:rPr>
        <w:t>2</w:t>
      </w:r>
      <w:r>
        <w:rPr>
          <w:rStyle w:val="SubtleEmphasis"/>
          <w:i w:val="0"/>
          <w:iCs w:val="0"/>
          <w:color w:val="auto"/>
          <w:sz w:val="22"/>
          <w:szCs w:val="24"/>
        </w:rPr>
        <w:t xml:space="preserve"> grant types:</w:t>
      </w:r>
    </w:p>
    <w:p w14:paraId="28E0DB1D" w14:textId="5542A14E" w:rsidR="006217E7" w:rsidRDefault="006217E7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</w:p>
    <w:p w14:paraId="783308E5" w14:textId="0D52B4DB" w:rsidR="006217E7" w:rsidRDefault="006217E7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  <w:r w:rsidRPr="006701AD">
        <w:rPr>
          <w:rStyle w:val="SubtleEmphasis"/>
          <w:b/>
          <w:bCs/>
          <w:i w:val="0"/>
          <w:iCs w:val="0"/>
          <w:color w:val="auto"/>
          <w:sz w:val="22"/>
          <w:szCs w:val="24"/>
        </w:rPr>
        <w:t>Small Grants</w:t>
      </w:r>
      <w:r>
        <w:rPr>
          <w:rStyle w:val="SubtleEmphasis"/>
          <w:i w:val="0"/>
          <w:iCs w:val="0"/>
          <w:color w:val="auto"/>
          <w:sz w:val="22"/>
          <w:szCs w:val="24"/>
        </w:rPr>
        <w:t xml:space="preserve"> – for projects between $2 500 and $50 000 excluding GST</w:t>
      </w:r>
    </w:p>
    <w:p w14:paraId="38F0E85C" w14:textId="7CE1559D" w:rsidR="00A55DF0" w:rsidRDefault="00A55DF0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  <w:r w:rsidRPr="006701AD">
        <w:rPr>
          <w:rStyle w:val="SubtleEmphasis"/>
          <w:b/>
          <w:bCs/>
          <w:i w:val="0"/>
          <w:iCs w:val="0"/>
          <w:color w:val="auto"/>
          <w:sz w:val="22"/>
          <w:szCs w:val="24"/>
        </w:rPr>
        <w:t>Large Grants</w:t>
      </w:r>
      <w:r>
        <w:rPr>
          <w:rStyle w:val="SubtleEmphasis"/>
          <w:i w:val="0"/>
          <w:iCs w:val="0"/>
          <w:color w:val="auto"/>
          <w:sz w:val="22"/>
          <w:szCs w:val="24"/>
        </w:rPr>
        <w:t xml:space="preserve"> – for projects between $50 00</w:t>
      </w:r>
      <w:r w:rsidR="00015496">
        <w:rPr>
          <w:rStyle w:val="SubtleEmphasis"/>
          <w:i w:val="0"/>
          <w:iCs w:val="0"/>
          <w:color w:val="auto"/>
          <w:sz w:val="22"/>
          <w:szCs w:val="24"/>
        </w:rPr>
        <w:t>1</w:t>
      </w:r>
      <w:r>
        <w:rPr>
          <w:rStyle w:val="SubtleEmphasis"/>
          <w:i w:val="0"/>
          <w:iCs w:val="0"/>
          <w:color w:val="auto"/>
          <w:sz w:val="22"/>
          <w:szCs w:val="24"/>
        </w:rPr>
        <w:t xml:space="preserve"> and $100 000 excluding GST</w:t>
      </w:r>
    </w:p>
    <w:p w14:paraId="64D60BA2" w14:textId="028935F3" w:rsidR="00A55DF0" w:rsidRDefault="00A55DF0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</w:p>
    <w:p w14:paraId="64E75490" w14:textId="2B6C473C" w:rsidR="00A55DF0" w:rsidRDefault="00137DA0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  <w:r>
        <w:rPr>
          <w:rStyle w:val="SubtleEmphasis"/>
          <w:i w:val="0"/>
          <w:iCs w:val="0"/>
          <w:color w:val="auto"/>
          <w:sz w:val="22"/>
          <w:szCs w:val="24"/>
        </w:rPr>
        <w:t>Organisations/</w:t>
      </w:r>
      <w:r w:rsidR="00A55DF0">
        <w:rPr>
          <w:rStyle w:val="SubtleEmphasis"/>
          <w:i w:val="0"/>
          <w:iCs w:val="0"/>
          <w:color w:val="auto"/>
          <w:sz w:val="22"/>
          <w:szCs w:val="24"/>
        </w:rPr>
        <w:t xml:space="preserve">groups may submit multiple applications across each grant </w:t>
      </w:r>
      <w:r w:rsidR="00015496">
        <w:rPr>
          <w:rStyle w:val="SubtleEmphasis"/>
          <w:i w:val="0"/>
          <w:iCs w:val="0"/>
          <w:color w:val="auto"/>
          <w:sz w:val="22"/>
          <w:szCs w:val="24"/>
        </w:rPr>
        <w:t>type,</w:t>
      </w:r>
      <w:r w:rsidR="00A55DF0">
        <w:rPr>
          <w:rStyle w:val="SubtleEmphasis"/>
          <w:i w:val="0"/>
          <w:iCs w:val="0"/>
          <w:color w:val="auto"/>
          <w:sz w:val="22"/>
          <w:szCs w:val="24"/>
        </w:rPr>
        <w:t xml:space="preserve"> </w:t>
      </w:r>
      <w:r w:rsidR="00015496">
        <w:rPr>
          <w:rStyle w:val="SubtleEmphasis"/>
          <w:i w:val="0"/>
          <w:iCs w:val="0"/>
          <w:color w:val="auto"/>
          <w:sz w:val="22"/>
          <w:szCs w:val="24"/>
        </w:rPr>
        <w:t>however</w:t>
      </w:r>
      <w:r w:rsidR="00A55DF0">
        <w:rPr>
          <w:rStyle w:val="SubtleEmphasis"/>
          <w:i w:val="0"/>
          <w:iCs w:val="0"/>
          <w:color w:val="auto"/>
          <w:sz w:val="22"/>
          <w:szCs w:val="24"/>
        </w:rPr>
        <w:t xml:space="preserve"> each project must be submitted on a separate application.</w:t>
      </w:r>
    </w:p>
    <w:p w14:paraId="2F0A9552" w14:textId="440F339F" w:rsidR="006217E7" w:rsidRDefault="006217E7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</w:p>
    <w:p w14:paraId="163C2385" w14:textId="77777777" w:rsidR="006217E7" w:rsidRDefault="006217E7" w:rsidP="002B1AB4">
      <w:pPr>
        <w:spacing w:after="0"/>
        <w:rPr>
          <w:rStyle w:val="SubtleEmphasis"/>
          <w:i w:val="0"/>
          <w:iCs w:val="0"/>
          <w:color w:val="auto"/>
          <w:sz w:val="22"/>
          <w:szCs w:val="24"/>
        </w:rPr>
      </w:pPr>
    </w:p>
    <w:p w14:paraId="12F8BC16" w14:textId="5AF8B00B" w:rsidR="00BB7144" w:rsidRDefault="00BB7144" w:rsidP="00194E2C">
      <w:pPr>
        <w:pStyle w:val="Heading2"/>
        <w:rPr>
          <w:rStyle w:val="SubtleEmphasis"/>
          <w:i w:val="0"/>
          <w:iCs w:val="0"/>
          <w:color w:val="auto"/>
          <w:sz w:val="36"/>
        </w:rPr>
      </w:pPr>
      <w:r w:rsidRPr="00BB7144">
        <w:rPr>
          <w:rStyle w:val="SubtleEmphasis"/>
          <w:i w:val="0"/>
          <w:iCs w:val="0"/>
          <w:color w:val="auto"/>
          <w:sz w:val="36"/>
        </w:rPr>
        <w:t xml:space="preserve">Funding </w:t>
      </w:r>
      <w:r w:rsidR="00A55DF0">
        <w:rPr>
          <w:rStyle w:val="SubtleEmphasis"/>
          <w:i w:val="0"/>
          <w:iCs w:val="0"/>
          <w:color w:val="auto"/>
          <w:sz w:val="36"/>
        </w:rPr>
        <w:t>p</w:t>
      </w:r>
      <w:r w:rsidRPr="00BB7144">
        <w:rPr>
          <w:rStyle w:val="SubtleEmphasis"/>
          <w:i w:val="0"/>
          <w:iCs w:val="0"/>
          <w:color w:val="auto"/>
          <w:sz w:val="36"/>
        </w:rPr>
        <w:t>riorities</w:t>
      </w:r>
    </w:p>
    <w:p w14:paraId="6AEA05B5" w14:textId="2EE9CFB0" w:rsidR="00BB7144" w:rsidRDefault="00BB7144" w:rsidP="002B1AB4">
      <w:pPr>
        <w:rPr>
          <w:lang w:eastAsia="en-AU"/>
        </w:rPr>
      </w:pPr>
    </w:p>
    <w:p w14:paraId="10249E81" w14:textId="10C9FCFC" w:rsidR="00BB7144" w:rsidRPr="00BB7144" w:rsidRDefault="00BB7144" w:rsidP="002B1AB4">
      <w:pPr>
        <w:spacing w:after="40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The Flexible Funding Grant</w:t>
      </w:r>
      <w:r>
        <w:rPr>
          <w:rFonts w:cs="Arial"/>
          <w:bCs/>
          <w:iCs/>
          <w:sz w:val="22"/>
          <w:szCs w:val="24"/>
        </w:rPr>
        <w:t>s</w:t>
      </w:r>
      <w:r w:rsidRPr="00BB7144">
        <w:rPr>
          <w:rFonts w:cs="Arial"/>
          <w:bCs/>
          <w:iCs/>
          <w:sz w:val="22"/>
          <w:szCs w:val="24"/>
        </w:rPr>
        <w:t xml:space="preserve"> will fund projects that promote:</w:t>
      </w:r>
    </w:p>
    <w:p w14:paraId="67E162CC" w14:textId="77777777" w:rsidR="00BB7144" w:rsidRPr="00BB7144" w:rsidRDefault="00BB7144" w:rsidP="002B1AB4">
      <w:pPr>
        <w:spacing w:after="40"/>
        <w:rPr>
          <w:rFonts w:cs="Arial"/>
          <w:bCs/>
          <w:iCs/>
          <w:sz w:val="8"/>
          <w:szCs w:val="8"/>
        </w:rPr>
      </w:pPr>
    </w:p>
    <w:p w14:paraId="4C982531" w14:textId="77777777" w:rsidR="00BB7144" w:rsidRPr="00BB7144" w:rsidRDefault="00BB7144" w:rsidP="002B1AB4">
      <w:pPr>
        <w:numPr>
          <w:ilvl w:val="0"/>
          <w:numId w:val="30"/>
        </w:numPr>
        <w:spacing w:after="0"/>
        <w:ind w:left="777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recovery from the impact of the disaster</w:t>
      </w:r>
    </w:p>
    <w:p w14:paraId="03D7B706" w14:textId="77777777" w:rsidR="00BB7144" w:rsidRPr="00BB7144" w:rsidRDefault="00BB7144" w:rsidP="002B1AB4">
      <w:pPr>
        <w:numPr>
          <w:ilvl w:val="0"/>
          <w:numId w:val="30"/>
        </w:numPr>
        <w:spacing w:after="0"/>
        <w:ind w:left="777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community education and information</w:t>
      </w:r>
    </w:p>
    <w:p w14:paraId="05951C14" w14:textId="77777777" w:rsidR="00BB7144" w:rsidRPr="00BB7144" w:rsidRDefault="00BB7144" w:rsidP="002B1AB4">
      <w:pPr>
        <w:numPr>
          <w:ilvl w:val="0"/>
          <w:numId w:val="30"/>
        </w:numPr>
        <w:spacing w:after="0"/>
        <w:ind w:left="777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planning for the community’s future</w:t>
      </w:r>
    </w:p>
    <w:p w14:paraId="4462D5E6" w14:textId="77777777" w:rsidR="00BB7144" w:rsidRPr="00BB7144" w:rsidRDefault="00BB7144" w:rsidP="002B1AB4">
      <w:pPr>
        <w:numPr>
          <w:ilvl w:val="0"/>
          <w:numId w:val="30"/>
        </w:numPr>
        <w:spacing w:after="0"/>
        <w:ind w:left="777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disaster preparedness and building community capacity</w:t>
      </w:r>
    </w:p>
    <w:p w14:paraId="1EB4BFF5" w14:textId="77777777" w:rsidR="00BB7144" w:rsidRPr="00BB7144" w:rsidRDefault="00BB7144" w:rsidP="002B1AB4">
      <w:pPr>
        <w:numPr>
          <w:ilvl w:val="0"/>
          <w:numId w:val="30"/>
        </w:numPr>
        <w:spacing w:after="0"/>
        <w:ind w:left="777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healing and self-expression</w:t>
      </w:r>
    </w:p>
    <w:p w14:paraId="1734E6F5" w14:textId="77777777" w:rsidR="00BB7144" w:rsidRPr="00BB7144" w:rsidRDefault="00BB7144" w:rsidP="002B1AB4">
      <w:pPr>
        <w:numPr>
          <w:ilvl w:val="0"/>
          <w:numId w:val="30"/>
        </w:numPr>
        <w:spacing w:after="0"/>
        <w:ind w:left="777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community connectedness and identity</w:t>
      </w:r>
    </w:p>
    <w:p w14:paraId="35475446" w14:textId="03684C91" w:rsidR="00BB7144" w:rsidRPr="002B1AB4" w:rsidRDefault="00BB7144" w:rsidP="002B1AB4">
      <w:pPr>
        <w:numPr>
          <w:ilvl w:val="0"/>
          <w:numId w:val="30"/>
        </w:numPr>
        <w:spacing w:after="0"/>
        <w:ind w:left="777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 xml:space="preserve">capturing </w:t>
      </w:r>
      <w:r w:rsidR="00E31064">
        <w:rPr>
          <w:rFonts w:cs="Arial"/>
          <w:bCs/>
          <w:iCs/>
          <w:sz w:val="22"/>
          <w:szCs w:val="24"/>
        </w:rPr>
        <w:t xml:space="preserve">community </w:t>
      </w:r>
      <w:r>
        <w:rPr>
          <w:rFonts w:cs="Arial"/>
          <w:bCs/>
          <w:iCs/>
          <w:sz w:val="22"/>
          <w:szCs w:val="24"/>
        </w:rPr>
        <w:t>disaster recovery, preparedness,</w:t>
      </w:r>
      <w:r w:rsidR="00E31064">
        <w:rPr>
          <w:rFonts w:cs="Arial"/>
          <w:bCs/>
          <w:iCs/>
          <w:sz w:val="22"/>
          <w:szCs w:val="24"/>
        </w:rPr>
        <w:t xml:space="preserve"> resilience-building </w:t>
      </w:r>
      <w:r w:rsidRPr="00BB7144">
        <w:rPr>
          <w:rFonts w:cs="Arial"/>
          <w:bCs/>
          <w:iCs/>
          <w:sz w:val="22"/>
          <w:szCs w:val="24"/>
        </w:rPr>
        <w:t>stories.</w:t>
      </w:r>
    </w:p>
    <w:p w14:paraId="0C78DBF2" w14:textId="77777777" w:rsidR="00BB7144" w:rsidRPr="00BB7144" w:rsidRDefault="00BB7144" w:rsidP="002B1AB4">
      <w:pPr>
        <w:spacing w:before="240" w:after="40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Eligible initiatives could include (but are not limited to):</w:t>
      </w:r>
    </w:p>
    <w:p w14:paraId="139A9694" w14:textId="0C669544" w:rsidR="00BB7144" w:rsidRPr="00BB7144" w:rsidRDefault="00BB7144" w:rsidP="002B1AB4">
      <w:pPr>
        <w:numPr>
          <w:ilvl w:val="0"/>
          <w:numId w:val="31"/>
        </w:numPr>
        <w:spacing w:before="240"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 xml:space="preserve">delivery of small projects that facilitate the recovery of the communities through community capacity and resilience building, </w:t>
      </w:r>
      <w:r w:rsidR="00D66294">
        <w:rPr>
          <w:rFonts w:cs="Arial"/>
          <w:bCs/>
          <w:iCs/>
          <w:sz w:val="22"/>
          <w:szCs w:val="24"/>
        </w:rPr>
        <w:t xml:space="preserve">and </w:t>
      </w:r>
      <w:r w:rsidRPr="00BB7144">
        <w:rPr>
          <w:rFonts w:cs="Arial"/>
          <w:bCs/>
          <w:iCs/>
          <w:sz w:val="22"/>
          <w:szCs w:val="24"/>
        </w:rPr>
        <w:t>to assist communities to understand how to be better prepared for hazards into the future</w:t>
      </w:r>
    </w:p>
    <w:p w14:paraId="2C8F6011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 xml:space="preserve">neighbourhood and community strengthening activities that focus specifically on capacity building for future weather events </w:t>
      </w:r>
    </w:p>
    <w:p w14:paraId="13653DC7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workshops or education/information sessions on issues such as insurance awareness, seasonal preparation, disaster proofing homes and developing disaster plans</w:t>
      </w:r>
    </w:p>
    <w:p w14:paraId="2DFFA75A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establishing regional disaster resilience planning networks involving local governments and key stakeholders such as industry and peak bodies, community and health service providers, chamber of commerce and emergency service agencies</w:t>
      </w:r>
    </w:p>
    <w:p w14:paraId="43C3FA0B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developing knowledge and skills across local governments and communities to improve recovery outcomes, and future disaster risk reduction and resilience</w:t>
      </w:r>
    </w:p>
    <w:p w14:paraId="505C4360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focused recovery support services for impacted small businesses and primary producers, which will include business advisors and mentoring</w:t>
      </w:r>
    </w:p>
    <w:p w14:paraId="7E91895F" w14:textId="6CE1CD5B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 xml:space="preserve">community group forums </w:t>
      </w:r>
      <w:r w:rsidR="00D66294">
        <w:rPr>
          <w:rFonts w:cs="Arial"/>
          <w:bCs/>
          <w:iCs/>
          <w:sz w:val="22"/>
          <w:szCs w:val="24"/>
        </w:rPr>
        <w:t>to assist with</w:t>
      </w:r>
      <w:r w:rsidRPr="00BB7144">
        <w:rPr>
          <w:rFonts w:cs="Arial"/>
          <w:bCs/>
          <w:iCs/>
          <w:sz w:val="22"/>
          <w:szCs w:val="24"/>
        </w:rPr>
        <w:t xml:space="preserve"> access to individual support for recovery services, grants, insurance, business financial counselling, advice and/or mentoring grants</w:t>
      </w:r>
    </w:p>
    <w:p w14:paraId="304FF700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training and skills development throughout the community, such as small business continuity/contingency planning to help individual businesses to survive in the short to medium term</w:t>
      </w:r>
    </w:p>
    <w:p w14:paraId="06C38DA6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grants to establish and build resilience in collaboration with other key disaster management stakeholders</w:t>
      </w:r>
    </w:p>
    <w:p w14:paraId="171DDA32" w14:textId="77777777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commemorative and reflective gardens or public memorials</w:t>
      </w:r>
    </w:p>
    <w:p w14:paraId="6F486F2D" w14:textId="53901134" w:rsidR="00BB7144" w:rsidRPr="00BB7144" w:rsidRDefault="00BB7144" w:rsidP="002B1AB4">
      <w:pPr>
        <w:numPr>
          <w:ilvl w:val="0"/>
          <w:numId w:val="31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BB7144">
        <w:rPr>
          <w:rFonts w:cs="Arial"/>
          <w:bCs/>
          <w:iCs/>
          <w:sz w:val="22"/>
          <w:szCs w:val="24"/>
        </w:rPr>
        <w:t>community events and other community arts, sporting, and cultural projects.</w:t>
      </w:r>
    </w:p>
    <w:p w14:paraId="711ACCC5" w14:textId="77777777" w:rsidR="00A55DF0" w:rsidRDefault="00A55DF0" w:rsidP="002B1AB4">
      <w:pPr>
        <w:rPr>
          <w:lang w:eastAsia="en-AU"/>
        </w:rPr>
      </w:pPr>
    </w:p>
    <w:p w14:paraId="0B5B2FCA" w14:textId="6C1BA3F5" w:rsidR="00A55DF0" w:rsidRDefault="00A55DF0" w:rsidP="00194E2C">
      <w:pPr>
        <w:pStyle w:val="Heading2"/>
      </w:pPr>
      <w:r>
        <w:lastRenderedPageBreak/>
        <w:t>Funding eligibility</w:t>
      </w:r>
    </w:p>
    <w:p w14:paraId="7B6DCF68" w14:textId="3EBACE14" w:rsidR="00A55DF0" w:rsidRDefault="00A55DF0" w:rsidP="002B1AB4">
      <w:pPr>
        <w:rPr>
          <w:lang w:eastAsia="en-AU"/>
        </w:rPr>
      </w:pPr>
    </w:p>
    <w:p w14:paraId="465C1D96" w14:textId="227AB2C5" w:rsidR="00E31064" w:rsidRDefault="00E31064" w:rsidP="002B1AB4">
      <w:pPr>
        <w:spacing w:before="120" w:after="120"/>
        <w:rPr>
          <w:sz w:val="22"/>
          <w:szCs w:val="24"/>
        </w:rPr>
      </w:pPr>
      <w:r>
        <w:rPr>
          <w:sz w:val="22"/>
          <w:szCs w:val="24"/>
        </w:rPr>
        <w:t>To be eligible for funding under this grant program, organisations and groups must be based in Queensland, or be auspiced by an agency whose primary base of operations is in Queensland.</w:t>
      </w:r>
    </w:p>
    <w:p w14:paraId="4432B644" w14:textId="17D38A6D" w:rsidR="00A55DF0" w:rsidRPr="00E31064" w:rsidRDefault="00A55DF0" w:rsidP="002B1AB4">
      <w:pPr>
        <w:spacing w:before="120" w:after="120"/>
        <w:rPr>
          <w:sz w:val="22"/>
          <w:szCs w:val="24"/>
        </w:rPr>
      </w:pPr>
      <w:r w:rsidRPr="00E31064">
        <w:rPr>
          <w:sz w:val="22"/>
          <w:szCs w:val="24"/>
        </w:rPr>
        <w:t xml:space="preserve">Applicants must be an incorporated entity, a proprietary limited company, a public company, or an Indigenous corporation, and preferably have a current ABN, or be auspiced by an agency meeting these criteria in order to </w:t>
      </w:r>
      <w:r w:rsidR="006701AD" w:rsidRPr="00E31064">
        <w:rPr>
          <w:sz w:val="22"/>
          <w:szCs w:val="24"/>
        </w:rPr>
        <w:t>apply</w:t>
      </w:r>
      <w:r w:rsidRPr="00E31064">
        <w:rPr>
          <w:sz w:val="22"/>
          <w:szCs w:val="24"/>
        </w:rPr>
        <w:t xml:space="preserve">. Unincorporated, Commonwealth Government, and State Government entities </w:t>
      </w:r>
      <w:r w:rsidR="00E31064" w:rsidRPr="00E31064">
        <w:rPr>
          <w:sz w:val="22"/>
          <w:szCs w:val="24"/>
        </w:rPr>
        <w:t>are not eligible for funding under this grant program.</w:t>
      </w:r>
    </w:p>
    <w:p w14:paraId="7AFCA603" w14:textId="4DF9721F" w:rsidR="00E31064" w:rsidRDefault="00E31064" w:rsidP="002B1AB4">
      <w:pPr>
        <w:spacing w:before="120" w:after="120"/>
        <w:rPr>
          <w:sz w:val="22"/>
          <w:szCs w:val="24"/>
        </w:rPr>
      </w:pPr>
      <w:r w:rsidRPr="00E31064">
        <w:rPr>
          <w:sz w:val="22"/>
          <w:szCs w:val="24"/>
        </w:rPr>
        <w:t>Organisations and groups must hold public liability insurance to a minimum value of $10 million per event</w:t>
      </w:r>
      <w:r>
        <w:rPr>
          <w:sz w:val="22"/>
          <w:szCs w:val="24"/>
        </w:rPr>
        <w:t>.</w:t>
      </w:r>
    </w:p>
    <w:p w14:paraId="759BF3AA" w14:textId="4B7D7043" w:rsidR="008723CA" w:rsidRDefault="008723CA" w:rsidP="002B1AB4">
      <w:pPr>
        <w:spacing w:before="120" w:after="120"/>
        <w:rPr>
          <w:sz w:val="22"/>
          <w:szCs w:val="24"/>
        </w:rPr>
      </w:pPr>
      <w:r>
        <w:rPr>
          <w:sz w:val="22"/>
          <w:szCs w:val="24"/>
        </w:rPr>
        <w:t>Applicants must have no outstanding financial or performance reporting requirements for any funding stream within the Department of Communities, Housing and Digital Economy.</w:t>
      </w:r>
    </w:p>
    <w:p w14:paraId="37B9DF35" w14:textId="77777777" w:rsidR="00E31064" w:rsidRDefault="00E31064" w:rsidP="002B1AB4">
      <w:pPr>
        <w:spacing w:after="40" w:line="0" w:lineRule="atLeast"/>
        <w:rPr>
          <w:b/>
          <w:sz w:val="22"/>
          <w:szCs w:val="24"/>
        </w:rPr>
      </w:pPr>
    </w:p>
    <w:p w14:paraId="22938BD8" w14:textId="3477B59A" w:rsidR="00A55DF0" w:rsidRPr="00E31064" w:rsidRDefault="00A55DF0" w:rsidP="002B1AB4">
      <w:pPr>
        <w:spacing w:after="240" w:line="0" w:lineRule="atLeast"/>
        <w:rPr>
          <w:b/>
          <w:sz w:val="22"/>
          <w:szCs w:val="24"/>
        </w:rPr>
      </w:pPr>
      <w:r w:rsidRPr="00E31064">
        <w:rPr>
          <w:b/>
          <w:sz w:val="22"/>
          <w:szCs w:val="24"/>
        </w:rPr>
        <w:t>Funding</w:t>
      </w:r>
      <w:r w:rsidR="00E31064">
        <w:rPr>
          <w:b/>
          <w:sz w:val="22"/>
          <w:szCs w:val="24"/>
        </w:rPr>
        <w:t xml:space="preserve"> under this grant round</w:t>
      </w:r>
      <w:r w:rsidRPr="00E31064">
        <w:rPr>
          <w:b/>
          <w:sz w:val="22"/>
          <w:szCs w:val="24"/>
        </w:rPr>
        <w:t xml:space="preserve"> will not be provided for:</w:t>
      </w:r>
    </w:p>
    <w:p w14:paraId="1168A88D" w14:textId="13F7A996" w:rsidR="00A55DF0" w:rsidRPr="007C70CE" w:rsidRDefault="00A55DF0" w:rsidP="002B1AB4">
      <w:pPr>
        <w:numPr>
          <w:ilvl w:val="0"/>
          <w:numId w:val="32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7C70CE">
        <w:rPr>
          <w:rFonts w:cs="Arial"/>
          <w:bCs/>
          <w:iCs/>
          <w:sz w:val="22"/>
          <w:szCs w:val="24"/>
        </w:rPr>
        <w:t>groups and organisations based outside of Queensland</w:t>
      </w:r>
      <w:r w:rsidR="007C70CE">
        <w:rPr>
          <w:rFonts w:cs="Arial"/>
          <w:bCs/>
          <w:iCs/>
          <w:sz w:val="22"/>
          <w:szCs w:val="24"/>
        </w:rPr>
        <w:t xml:space="preserve"> (without a Queensland-based auspice)</w:t>
      </w:r>
      <w:r w:rsidRPr="007C70CE">
        <w:rPr>
          <w:rFonts w:cs="Arial"/>
          <w:bCs/>
          <w:iCs/>
          <w:sz w:val="22"/>
          <w:szCs w:val="24"/>
        </w:rPr>
        <w:t xml:space="preserve"> </w:t>
      </w:r>
    </w:p>
    <w:p w14:paraId="7716DCD8" w14:textId="77777777" w:rsidR="00A55DF0" w:rsidRPr="00E31064" w:rsidRDefault="00A55DF0" w:rsidP="002B1AB4">
      <w:pPr>
        <w:numPr>
          <w:ilvl w:val="0"/>
          <w:numId w:val="32"/>
        </w:numPr>
        <w:spacing w:after="0"/>
        <w:ind w:left="714" w:hanging="357"/>
        <w:rPr>
          <w:rFonts w:cs="Arial"/>
          <w:bCs/>
          <w:iCs/>
          <w:sz w:val="22"/>
          <w:szCs w:val="24"/>
        </w:rPr>
      </w:pPr>
      <w:r w:rsidRPr="00E31064">
        <w:rPr>
          <w:rFonts w:cs="Arial"/>
          <w:bCs/>
          <w:iCs/>
          <w:sz w:val="22"/>
          <w:szCs w:val="24"/>
        </w:rPr>
        <w:t>individuals, or individual businesses or primary producers</w:t>
      </w:r>
    </w:p>
    <w:p w14:paraId="43235071" w14:textId="6940AF7C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clean</w:t>
      </w:r>
      <w:r w:rsidR="00E31064">
        <w:rPr>
          <w:rFonts w:eastAsia="Times New Roman" w:cs="Arial"/>
          <w:bCs/>
          <w:iCs/>
          <w:sz w:val="22"/>
          <w:szCs w:val="24"/>
          <w:lang w:eastAsia="en-AU"/>
        </w:rPr>
        <w:t>-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up activities</w:t>
      </w:r>
    </w:p>
    <w:p w14:paraId="3CD1D033" w14:textId="77777777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replacing losses covered by insurance or claimable through other funding sources</w:t>
      </w:r>
    </w:p>
    <w:p w14:paraId="582D0380" w14:textId="74C8A6DA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privately owned cultural assets, including collections, </w:t>
      </w:r>
      <w:r w:rsidR="00B6211A" w:rsidRPr="00E31064">
        <w:rPr>
          <w:rFonts w:eastAsia="Times New Roman" w:cs="Arial"/>
          <w:bCs/>
          <w:iCs/>
          <w:sz w:val="22"/>
          <w:szCs w:val="24"/>
          <w:lang w:eastAsia="en-AU"/>
        </w:rPr>
        <w:t>buildings,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 and spaces</w:t>
      </w:r>
    </w:p>
    <w:p w14:paraId="51EC3092" w14:textId="5312FAE9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capital works/places/objects owned by a State or Commonwealth Government department, </w:t>
      </w:r>
      <w:r w:rsidR="006701AD" w:rsidRPr="00E31064">
        <w:rPr>
          <w:rFonts w:eastAsia="Times New Roman" w:cs="Arial"/>
          <w:bCs/>
          <w:iCs/>
          <w:sz w:val="22"/>
          <w:szCs w:val="24"/>
          <w:lang w:eastAsia="en-AU"/>
        </w:rPr>
        <w:t>agency,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 or authority</w:t>
      </w:r>
    </w:p>
    <w:p w14:paraId="6D104088" w14:textId="77777777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restoration of infrastructure such as roads or bridges</w:t>
      </w:r>
    </w:p>
    <w:p w14:paraId="23888609" w14:textId="77777777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environmental restoration</w:t>
      </w:r>
    </w:p>
    <w:p w14:paraId="478ADF03" w14:textId="77777777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covering existing debts or budget deficits</w:t>
      </w:r>
    </w:p>
    <w:p w14:paraId="359A4477" w14:textId="2D900350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projects that are not related to disaster recovery or future disaster resilience</w:t>
      </w:r>
    </w:p>
    <w:p w14:paraId="7A4162EB" w14:textId="179F1F7B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projects that have a </w:t>
      </w:r>
      <w:r w:rsidR="00E31064" w:rsidRPr="00E31064">
        <w:rPr>
          <w:rFonts w:eastAsia="Times New Roman" w:cs="Arial"/>
          <w:bCs/>
          <w:iCs/>
          <w:sz w:val="22"/>
          <w:szCs w:val="24"/>
          <w:lang w:eastAsia="en-AU"/>
        </w:rPr>
        <w:t>political or religious outcome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 focus</w:t>
      </w:r>
    </w:p>
    <w:p w14:paraId="397CBB78" w14:textId="77777777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projects that may have a negative impact on existing businesses/services</w:t>
      </w:r>
    </w:p>
    <w:p w14:paraId="0130CC3B" w14:textId="77777777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projects benefiting individuals or individual businesses or primary producers</w:t>
      </w:r>
    </w:p>
    <w:p w14:paraId="48179A8C" w14:textId="77777777" w:rsidR="00A55DF0" w:rsidRPr="00E31064" w:rsidRDefault="00A55DF0" w:rsidP="002B1AB4">
      <w:pPr>
        <w:numPr>
          <w:ilvl w:val="0"/>
          <w:numId w:val="32"/>
        </w:numPr>
        <w:spacing w:after="0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facilities that are not open to the whole community.</w:t>
      </w:r>
    </w:p>
    <w:p w14:paraId="1F80B480" w14:textId="4E877EA2" w:rsidR="00A55DF0" w:rsidRDefault="00A55DF0" w:rsidP="002B1AB4">
      <w:pPr>
        <w:rPr>
          <w:lang w:eastAsia="en-AU"/>
        </w:rPr>
      </w:pPr>
    </w:p>
    <w:p w14:paraId="3F11FB99" w14:textId="002A5AA4" w:rsidR="00E31064" w:rsidRDefault="00E31064" w:rsidP="002B1AB4">
      <w:pPr>
        <w:spacing w:after="240"/>
        <w:rPr>
          <w:b/>
          <w:bCs/>
          <w:sz w:val="22"/>
          <w:szCs w:val="24"/>
          <w:lang w:eastAsia="en-AU"/>
        </w:rPr>
      </w:pPr>
      <w:r>
        <w:rPr>
          <w:b/>
          <w:bCs/>
          <w:sz w:val="22"/>
          <w:szCs w:val="24"/>
          <w:lang w:eastAsia="en-AU"/>
        </w:rPr>
        <w:t>Ineligible project costs include:</w:t>
      </w:r>
    </w:p>
    <w:p w14:paraId="2FE5AF14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costs of preparing applications, reports or associated supporting material</w:t>
      </w:r>
    </w:p>
    <w:p w14:paraId="197A6763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legal costs</w:t>
      </w:r>
    </w:p>
    <w:p w14:paraId="07DD01A2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in</w:t>
      </w:r>
      <w:r w:rsidRPr="00E31064">
        <w:rPr>
          <w:rFonts w:ascii="Cambria Math" w:eastAsia="Times New Roman" w:hAnsi="Cambria Math" w:cs="Cambria Math"/>
          <w:bCs/>
          <w:iCs/>
          <w:sz w:val="22"/>
          <w:szCs w:val="24"/>
          <w:lang w:eastAsia="en-AU"/>
        </w:rPr>
        <w:t>‐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kind contributions</w:t>
      </w:r>
    </w:p>
    <w:p w14:paraId="44944DF6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purchase of land or property</w:t>
      </w:r>
    </w:p>
    <w:p w14:paraId="087FB35B" w14:textId="0A3D5473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salaries or general operating costs not directly associated with delivering </w:t>
      </w:r>
      <w:r w:rsidR="008723CA">
        <w:rPr>
          <w:rFonts w:eastAsia="Times New Roman" w:cs="Arial"/>
          <w:bCs/>
          <w:iCs/>
          <w:sz w:val="22"/>
          <w:szCs w:val="24"/>
          <w:lang w:eastAsia="en-AU"/>
        </w:rPr>
        <w:t>the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 project</w:t>
      </w:r>
    </w:p>
    <w:p w14:paraId="26106D7F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cash prizes or commercial gifts</w:t>
      </w:r>
    </w:p>
    <w:p w14:paraId="5F4566E5" w14:textId="08DBD33B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work already commenced or completed</w:t>
      </w:r>
    </w:p>
    <w:p w14:paraId="04893D28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core business for an organisation</w:t>
      </w:r>
    </w:p>
    <w:p w14:paraId="1FFBD278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purchase of core business capital equipment such as motor vehicles and office equipment</w:t>
      </w:r>
    </w:p>
    <w:p w14:paraId="1AC5FC25" w14:textId="6B2E0BA3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remuneration of permanent or executive officers</w:t>
      </w:r>
      <w:r w:rsidR="008723CA">
        <w:rPr>
          <w:rFonts w:eastAsia="Times New Roman" w:cs="Arial"/>
          <w:bCs/>
          <w:iCs/>
          <w:sz w:val="22"/>
          <w:szCs w:val="24"/>
          <w:lang w:eastAsia="en-AU"/>
        </w:rPr>
        <w:t xml:space="preserve"> for activities not directly associated with delivering the project</w:t>
      </w:r>
    </w:p>
    <w:p w14:paraId="3866D3E9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land acquisition costs</w:t>
      </w:r>
    </w:p>
    <w:p w14:paraId="5BDC5B86" w14:textId="18BE5D12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duplication of existing</w:t>
      </w:r>
      <w:r w:rsidR="008723CA">
        <w:rPr>
          <w:rFonts w:eastAsia="Times New Roman" w:cs="Arial"/>
          <w:bCs/>
          <w:iCs/>
          <w:sz w:val="22"/>
          <w:szCs w:val="24"/>
          <w:lang w:eastAsia="en-AU"/>
        </w:rPr>
        <w:t xml:space="preserve"> projects</w:t>
      </w:r>
    </w:p>
    <w:p w14:paraId="2FB00144" w14:textId="21295BC3" w:rsidR="00E31064" w:rsidRPr="00E31064" w:rsidRDefault="008723CA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>
        <w:rPr>
          <w:rFonts w:eastAsia="Times New Roman" w:cs="Arial"/>
          <w:bCs/>
          <w:iCs/>
          <w:sz w:val="22"/>
          <w:szCs w:val="24"/>
          <w:lang w:eastAsia="en-AU"/>
        </w:rPr>
        <w:lastRenderedPageBreak/>
        <w:t xml:space="preserve">office </w:t>
      </w:r>
      <w:r w:rsidR="00E31064" w:rsidRPr="00E31064">
        <w:rPr>
          <w:rFonts w:eastAsia="Times New Roman" w:cs="Arial"/>
          <w:bCs/>
          <w:iCs/>
          <w:sz w:val="22"/>
          <w:szCs w:val="24"/>
          <w:lang w:eastAsia="en-AU"/>
        </w:rPr>
        <w:t>furnishings and supplies</w:t>
      </w:r>
    </w:p>
    <w:p w14:paraId="0E2D6286" w14:textId="77777777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temporary works, other than those required to enable completion of the proposed project</w:t>
      </w:r>
    </w:p>
    <w:p w14:paraId="7E2979D4" w14:textId="2F9BE953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ongoing costs for administration, </w:t>
      </w:r>
      <w:r w:rsidR="006701AD" w:rsidRPr="00E31064">
        <w:rPr>
          <w:rFonts w:eastAsia="Times New Roman" w:cs="Arial"/>
          <w:bCs/>
          <w:iCs/>
          <w:sz w:val="22"/>
          <w:szCs w:val="24"/>
          <w:lang w:eastAsia="en-AU"/>
        </w:rPr>
        <w:t>operation,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 or maintenance</w:t>
      </w:r>
    </w:p>
    <w:p w14:paraId="148CDBE2" w14:textId="37EC53F6" w:rsidR="00E31064" w:rsidRP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on</w:t>
      </w:r>
      <w:r w:rsidRPr="00E31064">
        <w:rPr>
          <w:rFonts w:ascii="Cambria Math" w:eastAsia="Times New Roman" w:hAnsi="Cambria Math" w:cs="Cambria Math"/>
          <w:bCs/>
          <w:iCs/>
          <w:sz w:val="22"/>
          <w:szCs w:val="24"/>
          <w:lang w:eastAsia="en-AU"/>
        </w:rPr>
        <w:t>‐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cost </w:t>
      </w:r>
      <w:r w:rsidR="008723CA">
        <w:rPr>
          <w:rFonts w:eastAsia="Times New Roman" w:cs="Arial"/>
          <w:bCs/>
          <w:iCs/>
          <w:sz w:val="22"/>
          <w:szCs w:val="24"/>
          <w:lang w:eastAsia="en-AU"/>
        </w:rPr>
        <w:t xml:space="preserve">and 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overhead costs</w:t>
      </w:r>
      <w:r w:rsidR="008723CA">
        <w:rPr>
          <w:rFonts w:eastAsia="Times New Roman" w:cs="Arial"/>
          <w:bCs/>
          <w:iCs/>
          <w:sz w:val="22"/>
          <w:szCs w:val="24"/>
          <w:lang w:eastAsia="en-AU"/>
        </w:rPr>
        <w:t xml:space="preserve"> not directly related to the delivery of the project</w:t>
      </w:r>
    </w:p>
    <w:p w14:paraId="7ADC2632" w14:textId="087A703A" w:rsidR="00E31064" w:rsidRDefault="00E31064" w:rsidP="002B1AB4">
      <w:pPr>
        <w:numPr>
          <w:ilvl w:val="0"/>
          <w:numId w:val="34"/>
        </w:numPr>
        <w:spacing w:after="0"/>
        <w:ind w:left="714" w:right="318" w:hanging="357"/>
        <w:rPr>
          <w:rFonts w:eastAsia="Times New Roman" w:cs="Arial"/>
          <w:bCs/>
          <w:iCs/>
          <w:sz w:val="22"/>
          <w:szCs w:val="24"/>
          <w:lang w:eastAsia="en-AU"/>
        </w:rPr>
      </w:pP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>vehicle leasing</w:t>
      </w:r>
      <w:r w:rsidR="008723CA">
        <w:rPr>
          <w:rFonts w:eastAsia="Times New Roman" w:cs="Arial"/>
          <w:bCs/>
          <w:iCs/>
          <w:sz w:val="22"/>
          <w:szCs w:val="24"/>
          <w:lang w:eastAsia="en-AU"/>
        </w:rPr>
        <w:t xml:space="preserve"> not</w:t>
      </w:r>
      <w:r w:rsidRPr="00E31064">
        <w:rPr>
          <w:rFonts w:eastAsia="Times New Roman" w:cs="Arial"/>
          <w:bCs/>
          <w:iCs/>
          <w:sz w:val="22"/>
          <w:szCs w:val="24"/>
          <w:lang w:eastAsia="en-AU"/>
        </w:rPr>
        <w:t xml:space="preserve"> directly related to the delivery of the project</w:t>
      </w:r>
      <w:r w:rsidR="008723CA">
        <w:rPr>
          <w:rFonts w:eastAsia="Times New Roman" w:cs="Arial"/>
          <w:bCs/>
          <w:iCs/>
          <w:sz w:val="22"/>
          <w:szCs w:val="24"/>
          <w:lang w:eastAsia="en-AU"/>
        </w:rPr>
        <w:t>.</w:t>
      </w:r>
    </w:p>
    <w:p w14:paraId="5C3016B8" w14:textId="3BE46CC8" w:rsidR="008723CA" w:rsidRDefault="008723CA" w:rsidP="002B1AB4">
      <w:pPr>
        <w:spacing w:after="0"/>
        <w:ind w:right="318"/>
        <w:rPr>
          <w:rFonts w:eastAsia="Times New Roman" w:cs="Arial"/>
          <w:bCs/>
          <w:iCs/>
          <w:sz w:val="22"/>
          <w:szCs w:val="24"/>
          <w:lang w:eastAsia="en-AU"/>
        </w:rPr>
      </w:pPr>
    </w:p>
    <w:p w14:paraId="452E09A0" w14:textId="1C6D339D" w:rsidR="008723CA" w:rsidRPr="00E31064" w:rsidRDefault="008723CA" w:rsidP="002B1AB4">
      <w:pPr>
        <w:spacing w:after="0"/>
        <w:ind w:right="318"/>
        <w:rPr>
          <w:rFonts w:eastAsia="Times New Roman" w:cs="Arial"/>
          <w:bCs/>
          <w:iCs/>
          <w:sz w:val="22"/>
          <w:szCs w:val="24"/>
          <w:lang w:eastAsia="en-AU"/>
        </w:rPr>
      </w:pPr>
      <w:r>
        <w:rPr>
          <w:rFonts w:eastAsia="Times New Roman" w:cs="Arial"/>
          <w:bCs/>
          <w:iCs/>
          <w:sz w:val="22"/>
          <w:szCs w:val="24"/>
          <w:lang w:eastAsia="en-AU"/>
        </w:rPr>
        <w:t xml:space="preserve">Applicants will be </w:t>
      </w:r>
      <w:r w:rsidR="005044DC">
        <w:rPr>
          <w:rFonts w:eastAsia="Times New Roman" w:cs="Arial"/>
          <w:bCs/>
          <w:iCs/>
          <w:sz w:val="22"/>
          <w:szCs w:val="24"/>
          <w:lang w:eastAsia="en-AU"/>
        </w:rPr>
        <w:t>required</w:t>
      </w:r>
      <w:r>
        <w:rPr>
          <w:rFonts w:eastAsia="Times New Roman" w:cs="Arial"/>
          <w:bCs/>
          <w:iCs/>
          <w:sz w:val="22"/>
          <w:szCs w:val="24"/>
          <w:lang w:eastAsia="en-AU"/>
        </w:rPr>
        <w:t xml:space="preserve"> to submit a detailed budget expenditure breakdown as part of the application process to ensure that no ineligible project costs are </w:t>
      </w:r>
      <w:r w:rsidR="005044DC">
        <w:rPr>
          <w:rFonts w:eastAsia="Times New Roman" w:cs="Arial"/>
          <w:bCs/>
          <w:iCs/>
          <w:sz w:val="22"/>
          <w:szCs w:val="24"/>
          <w:lang w:eastAsia="en-AU"/>
        </w:rPr>
        <w:t>requested.</w:t>
      </w:r>
    </w:p>
    <w:p w14:paraId="73E40809" w14:textId="49AEDDA6" w:rsidR="00E31064" w:rsidRDefault="00E31064" w:rsidP="002B1AB4">
      <w:pPr>
        <w:rPr>
          <w:b/>
          <w:bCs/>
          <w:sz w:val="22"/>
          <w:szCs w:val="24"/>
          <w:lang w:eastAsia="en-AU"/>
        </w:rPr>
      </w:pPr>
    </w:p>
    <w:p w14:paraId="547A107B" w14:textId="66C3C203" w:rsidR="008723CA" w:rsidRDefault="008723CA" w:rsidP="00194E2C">
      <w:pPr>
        <w:pStyle w:val="Heading2"/>
      </w:pPr>
      <w:proofErr w:type="gramStart"/>
      <w:r>
        <w:t>Submitting an application</w:t>
      </w:r>
      <w:proofErr w:type="gramEnd"/>
    </w:p>
    <w:p w14:paraId="64035413" w14:textId="6EBD4127" w:rsidR="008723CA" w:rsidRDefault="008723CA" w:rsidP="008723CA">
      <w:pPr>
        <w:rPr>
          <w:lang w:eastAsia="en-AU"/>
        </w:rPr>
      </w:pPr>
    </w:p>
    <w:p w14:paraId="2F518DE4" w14:textId="297245E6" w:rsidR="005044DC" w:rsidRDefault="008723CA" w:rsidP="005044DC">
      <w:pPr>
        <w:jc w:val="both"/>
        <w:rPr>
          <w:sz w:val="22"/>
          <w:szCs w:val="24"/>
          <w:lang w:eastAsia="en-AU"/>
        </w:rPr>
      </w:pPr>
      <w:r w:rsidRPr="008723CA">
        <w:rPr>
          <w:sz w:val="22"/>
          <w:szCs w:val="24"/>
          <w:lang w:eastAsia="en-AU"/>
        </w:rPr>
        <w:t xml:space="preserve">All </w:t>
      </w:r>
      <w:r>
        <w:rPr>
          <w:sz w:val="22"/>
          <w:szCs w:val="24"/>
          <w:lang w:eastAsia="en-AU"/>
        </w:rPr>
        <w:t xml:space="preserve">applications must be submitted via the </w:t>
      </w:r>
      <w:hyperlink r:id="rId18" w:history="1">
        <w:r w:rsidRPr="008723CA">
          <w:rPr>
            <w:rStyle w:val="Hyperlink"/>
            <w:sz w:val="22"/>
            <w:szCs w:val="24"/>
            <w:lang w:eastAsia="en-AU"/>
          </w:rPr>
          <w:t>SmartyGrants</w:t>
        </w:r>
      </w:hyperlink>
      <w:r>
        <w:rPr>
          <w:sz w:val="22"/>
          <w:szCs w:val="24"/>
          <w:lang w:eastAsia="en-AU"/>
        </w:rPr>
        <w:t xml:space="preserve"> online portal. </w:t>
      </w:r>
      <w:r w:rsidR="005044DC">
        <w:rPr>
          <w:sz w:val="22"/>
          <w:szCs w:val="24"/>
          <w:lang w:eastAsia="en-AU"/>
        </w:rPr>
        <w:t>Applications will not be accepted outside of SmartyGrants.</w:t>
      </w:r>
    </w:p>
    <w:p w14:paraId="6D7976B7" w14:textId="71F06B4E" w:rsidR="008723CA" w:rsidRPr="008723CA" w:rsidRDefault="008723CA" w:rsidP="005044DC">
      <w:pPr>
        <w:jc w:val="both"/>
        <w:rPr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>SmartyGrant</w:t>
      </w:r>
      <w:r w:rsidR="005044DC">
        <w:rPr>
          <w:sz w:val="22"/>
          <w:szCs w:val="24"/>
          <w:lang w:eastAsia="en-AU"/>
        </w:rPr>
        <w:t xml:space="preserve">s </w:t>
      </w:r>
      <w:r>
        <w:rPr>
          <w:sz w:val="22"/>
          <w:szCs w:val="24"/>
          <w:lang w:eastAsia="en-AU"/>
        </w:rPr>
        <w:t xml:space="preserve">registration is </w:t>
      </w:r>
      <w:r w:rsidRPr="006701AD">
        <w:rPr>
          <w:sz w:val="22"/>
          <w:szCs w:val="24"/>
          <w:lang w:eastAsia="en-AU"/>
        </w:rPr>
        <w:t>free,</w:t>
      </w:r>
      <w:r>
        <w:rPr>
          <w:sz w:val="22"/>
          <w:szCs w:val="24"/>
          <w:lang w:eastAsia="en-AU"/>
        </w:rPr>
        <w:t xml:space="preserve"> however applicants must be registered with SmartyGrants to access the application form and submit </w:t>
      </w:r>
      <w:r w:rsidR="005044DC">
        <w:rPr>
          <w:sz w:val="22"/>
          <w:szCs w:val="24"/>
          <w:lang w:eastAsia="en-AU"/>
        </w:rPr>
        <w:t>applications.</w:t>
      </w:r>
    </w:p>
    <w:p w14:paraId="3E814FF6" w14:textId="50B5FB45" w:rsidR="008723CA" w:rsidRPr="005044DC" w:rsidRDefault="005044DC" w:rsidP="005044DC">
      <w:pPr>
        <w:spacing w:after="240"/>
        <w:jc w:val="both"/>
        <w:rPr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 xml:space="preserve">Applications will open at 9am on </w:t>
      </w:r>
      <w:r w:rsidRPr="005044DC">
        <w:rPr>
          <w:b/>
          <w:bCs/>
          <w:sz w:val="22"/>
          <w:szCs w:val="24"/>
          <w:lang w:eastAsia="en-AU"/>
        </w:rPr>
        <w:t xml:space="preserve">Wednesday </w:t>
      </w:r>
      <w:r w:rsidR="00B6211A">
        <w:rPr>
          <w:b/>
          <w:bCs/>
          <w:sz w:val="22"/>
          <w:szCs w:val="24"/>
          <w:lang w:eastAsia="en-AU"/>
        </w:rPr>
        <w:t>27</w:t>
      </w:r>
      <w:r w:rsidRPr="005044DC">
        <w:rPr>
          <w:b/>
          <w:bCs/>
          <w:sz w:val="22"/>
          <w:szCs w:val="24"/>
          <w:lang w:eastAsia="en-AU"/>
        </w:rPr>
        <w:t xml:space="preserve"> October 2021</w:t>
      </w:r>
      <w:r>
        <w:rPr>
          <w:sz w:val="22"/>
          <w:szCs w:val="24"/>
          <w:lang w:eastAsia="en-AU"/>
        </w:rPr>
        <w:t>.</w:t>
      </w:r>
    </w:p>
    <w:p w14:paraId="619E03E3" w14:textId="77777777" w:rsidR="007E123E" w:rsidRPr="008402F0" w:rsidRDefault="005044DC" w:rsidP="00D556FD">
      <w:pPr>
        <w:spacing w:after="120"/>
        <w:rPr>
          <w:sz w:val="22"/>
          <w:szCs w:val="24"/>
          <w:lang w:eastAsia="en-AU"/>
        </w:rPr>
      </w:pPr>
      <w:r w:rsidRPr="008402F0">
        <w:rPr>
          <w:b/>
          <w:bCs/>
          <w:sz w:val="22"/>
          <w:szCs w:val="24"/>
          <w:lang w:eastAsia="en-AU"/>
        </w:rPr>
        <w:t>Small Grant</w:t>
      </w:r>
      <w:r w:rsidRPr="008402F0">
        <w:rPr>
          <w:sz w:val="22"/>
          <w:szCs w:val="24"/>
          <w:lang w:eastAsia="en-AU"/>
        </w:rPr>
        <w:t xml:space="preserve"> application form – </w:t>
      </w:r>
    </w:p>
    <w:bookmarkStart w:id="1" w:name="_Hlk85018844"/>
    <w:p w14:paraId="5C0929CB" w14:textId="62EA7AA6" w:rsidR="00D556FD" w:rsidRPr="008402F0" w:rsidRDefault="00B6211A" w:rsidP="00D556FD">
      <w:pPr>
        <w:spacing w:after="120"/>
        <w:rPr>
          <w:b/>
          <w:bCs/>
          <w:sz w:val="22"/>
          <w:szCs w:val="24"/>
          <w:lang w:eastAsia="en-AU"/>
        </w:rPr>
      </w:pPr>
      <w:r w:rsidRPr="008402F0">
        <w:fldChar w:fldCharType="begin"/>
      </w:r>
      <w:r w:rsidRPr="008402F0">
        <w:rPr>
          <w:b/>
          <w:bCs/>
        </w:rPr>
        <w:instrText xml:space="preserve"> HYPERLINK "https://communities.smartygrants.com.au/CQBFFGR3S" </w:instrText>
      </w:r>
      <w:r w:rsidRPr="008402F0">
        <w:fldChar w:fldCharType="separate"/>
      </w:r>
      <w:r w:rsidR="007E123E" w:rsidRPr="008402F0">
        <w:rPr>
          <w:rStyle w:val="Hyperlink"/>
          <w:b/>
          <w:bCs/>
          <w:sz w:val="22"/>
          <w:lang w:val="en"/>
        </w:rPr>
        <w:t>https://communities.smartygrants.com.au/CQBFFGR3S</w:t>
      </w:r>
      <w:r w:rsidRPr="008402F0">
        <w:rPr>
          <w:rStyle w:val="Hyperlink"/>
          <w:b/>
          <w:bCs/>
          <w:sz w:val="22"/>
          <w:lang w:val="en"/>
        </w:rPr>
        <w:fldChar w:fldCharType="end"/>
      </w:r>
      <w:bookmarkEnd w:id="1"/>
    </w:p>
    <w:p w14:paraId="49B88B8A" w14:textId="6C9B5A19" w:rsidR="005044DC" w:rsidRDefault="005044DC" w:rsidP="00D556FD">
      <w:pPr>
        <w:spacing w:before="240" w:after="120"/>
        <w:rPr>
          <w:sz w:val="22"/>
          <w:szCs w:val="24"/>
          <w:lang w:eastAsia="en-AU"/>
        </w:rPr>
      </w:pPr>
      <w:r w:rsidRPr="008402F0">
        <w:rPr>
          <w:b/>
          <w:bCs/>
          <w:sz w:val="22"/>
          <w:szCs w:val="24"/>
          <w:lang w:eastAsia="en-AU"/>
        </w:rPr>
        <w:t>Large Grant</w:t>
      </w:r>
      <w:r w:rsidRPr="008402F0">
        <w:rPr>
          <w:sz w:val="22"/>
          <w:szCs w:val="24"/>
          <w:lang w:eastAsia="en-AU"/>
        </w:rPr>
        <w:t xml:space="preserve"> application form – </w:t>
      </w:r>
      <w:bookmarkStart w:id="2" w:name="_Hlk85018865"/>
      <w:r w:rsidR="00B6211A" w:rsidRPr="008402F0">
        <w:fldChar w:fldCharType="begin"/>
      </w:r>
      <w:r w:rsidR="00B6211A" w:rsidRPr="008402F0">
        <w:rPr>
          <w:b/>
          <w:bCs/>
        </w:rPr>
        <w:instrText xml:space="preserve"> HYPERLINK "https://communities.smartygrants.com.au/CQBushfiresFFGR3L" </w:instrText>
      </w:r>
      <w:r w:rsidR="00B6211A" w:rsidRPr="008402F0">
        <w:fldChar w:fldCharType="separate"/>
      </w:r>
      <w:r w:rsidR="007E123E" w:rsidRPr="008402F0">
        <w:rPr>
          <w:rStyle w:val="Hyperlink"/>
          <w:b/>
          <w:bCs/>
          <w:sz w:val="22"/>
          <w:szCs w:val="24"/>
          <w:lang w:eastAsia="en-AU"/>
        </w:rPr>
        <w:t>h</w:t>
      </w:r>
      <w:r w:rsidR="007E123E" w:rsidRPr="008402F0">
        <w:rPr>
          <w:rStyle w:val="Hyperlink"/>
          <w:rFonts w:cs="Arial"/>
          <w:b/>
          <w:bCs/>
          <w:sz w:val="22"/>
          <w:shd w:val="clear" w:color="auto" w:fill="FFFFFF"/>
        </w:rPr>
        <w:t>ttps://communities.smartygrants.com.au/CQBushfiresFFGR3L</w:t>
      </w:r>
      <w:r w:rsidR="00B6211A" w:rsidRPr="008402F0">
        <w:rPr>
          <w:rStyle w:val="Hyperlink"/>
          <w:rFonts w:cs="Arial"/>
          <w:b/>
          <w:bCs/>
          <w:sz w:val="22"/>
          <w:shd w:val="clear" w:color="auto" w:fill="FFFFFF"/>
        </w:rPr>
        <w:fldChar w:fldCharType="end"/>
      </w:r>
    </w:p>
    <w:bookmarkEnd w:id="2"/>
    <w:p w14:paraId="106D4AB1" w14:textId="14B8FC5C" w:rsidR="005044DC" w:rsidRDefault="005044DC" w:rsidP="00D556FD">
      <w:pPr>
        <w:spacing w:before="240" w:after="240"/>
        <w:jc w:val="both"/>
        <w:rPr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>Applicants may submit multiple applications across both small and/or large grant funding types, however each project must be submitted on a separate application form.</w:t>
      </w:r>
    </w:p>
    <w:p w14:paraId="1523A08C" w14:textId="0D78329C" w:rsidR="005044DC" w:rsidRDefault="005044DC" w:rsidP="001E4422">
      <w:pPr>
        <w:jc w:val="both"/>
        <w:rPr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 xml:space="preserve">Applications will close at </w:t>
      </w:r>
      <w:r w:rsidRPr="005044DC">
        <w:rPr>
          <w:b/>
          <w:bCs/>
          <w:sz w:val="22"/>
          <w:szCs w:val="24"/>
          <w:u w:val="single"/>
          <w:lang w:eastAsia="en-AU"/>
        </w:rPr>
        <w:t>2pm</w:t>
      </w:r>
      <w:r>
        <w:rPr>
          <w:sz w:val="22"/>
          <w:szCs w:val="24"/>
          <w:lang w:eastAsia="en-AU"/>
        </w:rPr>
        <w:t xml:space="preserve"> on </w:t>
      </w:r>
      <w:r w:rsidRPr="005044DC">
        <w:rPr>
          <w:b/>
          <w:bCs/>
          <w:sz w:val="22"/>
          <w:szCs w:val="24"/>
          <w:lang w:eastAsia="en-AU"/>
        </w:rPr>
        <w:t>Thursday 2</w:t>
      </w:r>
      <w:r w:rsidR="00B6211A">
        <w:rPr>
          <w:b/>
          <w:bCs/>
          <w:sz w:val="22"/>
          <w:szCs w:val="24"/>
          <w:lang w:eastAsia="en-AU"/>
        </w:rPr>
        <w:t>5</w:t>
      </w:r>
      <w:r w:rsidRPr="005044DC">
        <w:rPr>
          <w:b/>
          <w:bCs/>
          <w:sz w:val="22"/>
          <w:szCs w:val="24"/>
          <w:lang w:eastAsia="en-AU"/>
        </w:rPr>
        <w:t xml:space="preserve"> November 2021</w:t>
      </w:r>
      <w:r>
        <w:rPr>
          <w:sz w:val="22"/>
          <w:szCs w:val="24"/>
          <w:lang w:eastAsia="en-AU"/>
        </w:rPr>
        <w:t>.</w:t>
      </w:r>
    </w:p>
    <w:p w14:paraId="6D4B75C1" w14:textId="10EA022A" w:rsidR="005044DC" w:rsidRDefault="005044DC" w:rsidP="001E4422">
      <w:pPr>
        <w:jc w:val="both"/>
        <w:rPr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>Incomplete applications, including those without the required supporting materials, will not be accepted.</w:t>
      </w:r>
    </w:p>
    <w:p w14:paraId="7C61B236" w14:textId="3E189FD0" w:rsidR="001E4422" w:rsidRDefault="001E4422" w:rsidP="001E4422">
      <w:pPr>
        <w:jc w:val="both"/>
        <w:rPr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 xml:space="preserve">Late applications </w:t>
      </w:r>
      <w:r w:rsidRPr="001E4422">
        <w:rPr>
          <w:i/>
          <w:iCs/>
          <w:sz w:val="22"/>
          <w:szCs w:val="24"/>
          <w:lang w:eastAsia="en-AU"/>
        </w:rPr>
        <w:t>may</w:t>
      </w:r>
      <w:r>
        <w:rPr>
          <w:sz w:val="22"/>
          <w:szCs w:val="24"/>
          <w:lang w:eastAsia="en-AU"/>
        </w:rPr>
        <w:t xml:space="preserve"> be considered at the discretion of the funding assessment Chair, </w:t>
      </w:r>
      <w:r w:rsidR="00B6211A">
        <w:rPr>
          <w:sz w:val="22"/>
          <w:szCs w:val="24"/>
          <w:lang w:eastAsia="en-AU"/>
        </w:rPr>
        <w:t>however,</w:t>
      </w:r>
      <w:r>
        <w:rPr>
          <w:sz w:val="22"/>
          <w:szCs w:val="24"/>
          <w:lang w:eastAsia="en-AU"/>
        </w:rPr>
        <w:t xml:space="preserve"> will be on a case-by-case basis and considered by extenuating circumstances only.</w:t>
      </w:r>
    </w:p>
    <w:p w14:paraId="056DE290" w14:textId="63996861" w:rsidR="001E4422" w:rsidRDefault="001E4422" w:rsidP="001E4422">
      <w:pPr>
        <w:jc w:val="both"/>
        <w:rPr>
          <w:sz w:val="22"/>
          <w:szCs w:val="24"/>
          <w:lang w:eastAsia="en-AU"/>
        </w:rPr>
      </w:pPr>
    </w:p>
    <w:p w14:paraId="0F4648AD" w14:textId="29A30F45" w:rsidR="001E4422" w:rsidRDefault="001E4422" w:rsidP="00194E2C">
      <w:pPr>
        <w:pStyle w:val="Heading2"/>
      </w:pPr>
      <w:r>
        <w:t>Assessment of applications</w:t>
      </w:r>
    </w:p>
    <w:p w14:paraId="6F8D918C" w14:textId="25158CA4" w:rsidR="001E4422" w:rsidRDefault="001E4422" w:rsidP="001E4422">
      <w:pPr>
        <w:rPr>
          <w:lang w:eastAsia="en-AU"/>
        </w:rPr>
      </w:pPr>
    </w:p>
    <w:p w14:paraId="46C12EE4" w14:textId="188BC1AE" w:rsidR="001E4422" w:rsidRDefault="001E4422" w:rsidP="001E4422">
      <w:pPr>
        <w:rPr>
          <w:sz w:val="22"/>
          <w:szCs w:val="24"/>
          <w:lang w:eastAsia="en-AU"/>
        </w:rPr>
      </w:pPr>
      <w:r w:rsidRPr="001E4422">
        <w:rPr>
          <w:sz w:val="22"/>
          <w:szCs w:val="24"/>
          <w:lang w:eastAsia="en-AU"/>
        </w:rPr>
        <w:t>Applications</w:t>
      </w:r>
      <w:r>
        <w:rPr>
          <w:sz w:val="22"/>
          <w:szCs w:val="24"/>
          <w:lang w:eastAsia="en-AU"/>
        </w:rPr>
        <w:t xml:space="preserve"> will be assessed by an independent funding panel comprising a panel Chair and at least </w:t>
      </w:r>
      <w:r w:rsidR="00194E2C">
        <w:rPr>
          <w:sz w:val="22"/>
          <w:szCs w:val="24"/>
          <w:lang w:eastAsia="en-AU"/>
        </w:rPr>
        <w:t>2</w:t>
      </w:r>
      <w:r>
        <w:rPr>
          <w:sz w:val="22"/>
          <w:szCs w:val="24"/>
          <w:lang w:eastAsia="en-AU"/>
        </w:rPr>
        <w:t xml:space="preserve"> panel members.</w:t>
      </w:r>
    </w:p>
    <w:p w14:paraId="1BC0D027" w14:textId="1EDC6466" w:rsidR="001E4422" w:rsidRDefault="001E4422" w:rsidP="001E4422">
      <w:pPr>
        <w:rPr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>The assessment panel will assess each application against strict assessment criteria. If the funding round is over-subscribed, applications will also be assessed competitively.</w:t>
      </w:r>
    </w:p>
    <w:p w14:paraId="2CDFDF4C" w14:textId="255D1D83" w:rsidR="001E4422" w:rsidRDefault="001E4422" w:rsidP="006D3698">
      <w:pPr>
        <w:spacing w:after="240"/>
        <w:rPr>
          <w:b/>
          <w:bCs/>
          <w:sz w:val="22"/>
          <w:szCs w:val="24"/>
          <w:lang w:eastAsia="en-AU"/>
        </w:rPr>
      </w:pPr>
      <w:r w:rsidRPr="001E4422">
        <w:rPr>
          <w:b/>
          <w:bCs/>
          <w:sz w:val="22"/>
          <w:szCs w:val="24"/>
          <w:lang w:eastAsia="en-AU"/>
        </w:rPr>
        <w:t>Assessment Criteria</w:t>
      </w:r>
    </w:p>
    <w:p w14:paraId="4FAB0B4B" w14:textId="7A38E09C" w:rsidR="001E4422" w:rsidRDefault="001E4422" w:rsidP="006D3698">
      <w:pPr>
        <w:spacing w:after="240"/>
        <w:rPr>
          <w:b/>
          <w:bCs/>
          <w:sz w:val="22"/>
          <w:szCs w:val="24"/>
          <w:lang w:eastAsia="en-AU"/>
        </w:rPr>
      </w:pPr>
      <w:r>
        <w:rPr>
          <w:b/>
          <w:bCs/>
          <w:sz w:val="22"/>
          <w:szCs w:val="24"/>
          <w:lang w:eastAsia="en-AU"/>
        </w:rPr>
        <w:t>Small Grants:</w:t>
      </w:r>
    </w:p>
    <w:p w14:paraId="730DCC7D" w14:textId="3C17E1B5" w:rsidR="001E4422" w:rsidRPr="001E4422" w:rsidRDefault="001E4422" w:rsidP="001E4422">
      <w:pPr>
        <w:pStyle w:val="ListParagraph"/>
        <w:numPr>
          <w:ilvl w:val="0"/>
          <w:numId w:val="35"/>
        </w:numPr>
        <w:rPr>
          <w:b/>
          <w:bCs/>
          <w:sz w:val="22"/>
          <w:szCs w:val="24"/>
          <w:lang w:eastAsia="en-AU"/>
        </w:rPr>
      </w:pPr>
      <w:bookmarkStart w:id="3" w:name="_Hlk83043989"/>
      <w:r>
        <w:rPr>
          <w:sz w:val="22"/>
          <w:szCs w:val="24"/>
          <w:lang w:eastAsia="en-AU"/>
        </w:rPr>
        <w:t>The project contributes to the recovery of the community from the impact of the Central Queensland Bushfires and/or contributes to the future disaster preparedness and resilience-building of the community,</w:t>
      </w:r>
      <w:r w:rsidR="00137DA0">
        <w:rPr>
          <w:sz w:val="22"/>
          <w:szCs w:val="24"/>
          <w:lang w:eastAsia="en-AU"/>
        </w:rPr>
        <w:t xml:space="preserve"> and</w:t>
      </w:r>
    </w:p>
    <w:bookmarkEnd w:id="3"/>
    <w:p w14:paraId="43863CE9" w14:textId="282BDA60" w:rsidR="001E4422" w:rsidRPr="001E4422" w:rsidRDefault="001E4422" w:rsidP="001E4422">
      <w:pPr>
        <w:pStyle w:val="ListParagraph"/>
        <w:numPr>
          <w:ilvl w:val="0"/>
          <w:numId w:val="35"/>
        </w:numPr>
        <w:rPr>
          <w:b/>
          <w:bCs/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lastRenderedPageBreak/>
        <w:t>The project demonstrates evidence of community support for and participation in the project, and</w:t>
      </w:r>
    </w:p>
    <w:p w14:paraId="7B519D4C" w14:textId="003AF97D" w:rsidR="001E4422" w:rsidRPr="006D3698" w:rsidRDefault="001E4422" w:rsidP="001E4422">
      <w:pPr>
        <w:pStyle w:val="ListParagraph"/>
        <w:numPr>
          <w:ilvl w:val="0"/>
          <w:numId w:val="35"/>
        </w:numPr>
        <w:rPr>
          <w:b/>
          <w:bCs/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>The project demonstrates evidence of the applicant’s capability and capacity to deliver the project</w:t>
      </w:r>
      <w:r w:rsidR="006D3698">
        <w:rPr>
          <w:sz w:val="22"/>
          <w:szCs w:val="24"/>
          <w:lang w:eastAsia="en-AU"/>
        </w:rPr>
        <w:t>.</w:t>
      </w:r>
    </w:p>
    <w:p w14:paraId="7181D50C" w14:textId="1BF6BA3D" w:rsidR="006D3698" w:rsidRDefault="006D3698" w:rsidP="002B1AB4">
      <w:pPr>
        <w:rPr>
          <w:b/>
          <w:bCs/>
          <w:sz w:val="22"/>
          <w:szCs w:val="24"/>
          <w:lang w:eastAsia="en-AU"/>
        </w:rPr>
      </w:pPr>
    </w:p>
    <w:p w14:paraId="0A269121" w14:textId="1B3A76D1" w:rsidR="006D3698" w:rsidRDefault="006D3698" w:rsidP="002B1AB4">
      <w:pPr>
        <w:rPr>
          <w:b/>
          <w:bCs/>
          <w:sz w:val="22"/>
          <w:szCs w:val="24"/>
          <w:lang w:eastAsia="en-AU"/>
        </w:rPr>
      </w:pPr>
      <w:r>
        <w:rPr>
          <w:b/>
          <w:bCs/>
          <w:sz w:val="22"/>
          <w:szCs w:val="24"/>
          <w:lang w:eastAsia="en-AU"/>
        </w:rPr>
        <w:t>Large Grants:</w:t>
      </w:r>
    </w:p>
    <w:p w14:paraId="5DE06166" w14:textId="1644AB48" w:rsidR="006D3698" w:rsidRPr="001E4422" w:rsidRDefault="006D3698" w:rsidP="002B1AB4">
      <w:pPr>
        <w:pStyle w:val="ListParagraph"/>
        <w:numPr>
          <w:ilvl w:val="0"/>
          <w:numId w:val="37"/>
        </w:numPr>
        <w:rPr>
          <w:b/>
          <w:bCs/>
          <w:sz w:val="22"/>
          <w:szCs w:val="24"/>
          <w:lang w:eastAsia="en-AU"/>
        </w:rPr>
      </w:pPr>
      <w:r>
        <w:rPr>
          <w:sz w:val="22"/>
          <w:szCs w:val="24"/>
          <w:lang w:eastAsia="en-AU"/>
        </w:rPr>
        <w:t>The project contributes to the recovery of the community from the impact of the Central Queensland Bushfires and/or contributes to the future disaster preparedness and resilience-building of the community,</w:t>
      </w:r>
      <w:r w:rsidR="00137DA0">
        <w:rPr>
          <w:sz w:val="22"/>
          <w:szCs w:val="24"/>
          <w:lang w:eastAsia="en-AU"/>
        </w:rPr>
        <w:t xml:space="preserve"> and</w:t>
      </w:r>
    </w:p>
    <w:p w14:paraId="3C3C81EA" w14:textId="0634E1A1" w:rsidR="006D3698" w:rsidRPr="006D3698" w:rsidRDefault="006D3698" w:rsidP="002B1AB4">
      <w:pPr>
        <w:numPr>
          <w:ilvl w:val="0"/>
          <w:numId w:val="37"/>
        </w:num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>The project demonstrates evidence</w:t>
      </w:r>
      <w:r w:rsidRPr="006D3698">
        <w:rPr>
          <w:rFonts w:eastAsia="MS Mincho" w:cs="Arial"/>
          <w:sz w:val="22"/>
          <w:lang w:val="en-US"/>
        </w:rPr>
        <w:t xml:space="preserve"> of significant community support for the project</w:t>
      </w:r>
      <w:r w:rsidR="006701AD">
        <w:rPr>
          <w:rFonts w:eastAsia="MS Mincho" w:cs="Arial"/>
          <w:sz w:val="22"/>
          <w:lang w:val="en-US"/>
        </w:rPr>
        <w:t>,</w:t>
      </w:r>
    </w:p>
    <w:p w14:paraId="7850D196" w14:textId="54FB2F0A" w:rsidR="006D3698" w:rsidRPr="006D3698" w:rsidRDefault="006D3698" w:rsidP="002B1AB4">
      <w:pPr>
        <w:numPr>
          <w:ilvl w:val="0"/>
          <w:numId w:val="37"/>
        </w:num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>The project demonstrates e</w:t>
      </w:r>
      <w:r w:rsidRPr="006D3698">
        <w:rPr>
          <w:rFonts w:eastAsia="MS Mincho" w:cs="Arial"/>
          <w:sz w:val="22"/>
          <w:lang w:val="en-US"/>
        </w:rPr>
        <w:t xml:space="preserve">vidence of inclusive processes used to identify and prioritise the project such as community engagement or community development plans; </w:t>
      </w:r>
      <w:r w:rsidRPr="006D3698">
        <w:rPr>
          <w:rFonts w:eastAsia="MS Mincho" w:cs="Arial"/>
          <w:b/>
          <w:bCs/>
          <w:sz w:val="22"/>
          <w:u w:val="single"/>
          <w:lang w:val="en-US"/>
        </w:rPr>
        <w:t xml:space="preserve">and </w:t>
      </w:r>
      <w:r>
        <w:rPr>
          <w:rFonts w:eastAsia="MS Mincho" w:cs="Arial"/>
          <w:sz w:val="22"/>
          <w:lang w:val="en-US"/>
        </w:rPr>
        <w:t xml:space="preserve">has </w:t>
      </w:r>
      <w:r w:rsidRPr="006D3698">
        <w:rPr>
          <w:rFonts w:eastAsia="MS Mincho" w:cs="Arial"/>
          <w:sz w:val="22"/>
          <w:lang w:val="en-US"/>
        </w:rPr>
        <w:t>endorsement by the Local Disaster Management Group</w:t>
      </w:r>
      <w:r w:rsidR="006701AD">
        <w:rPr>
          <w:rFonts w:eastAsia="MS Mincho" w:cs="Arial"/>
          <w:sz w:val="22"/>
          <w:lang w:val="en-US"/>
        </w:rPr>
        <w:t>,</w:t>
      </w:r>
      <w:r w:rsidR="00137DA0">
        <w:rPr>
          <w:rFonts w:eastAsia="MS Mincho" w:cs="Arial"/>
          <w:sz w:val="22"/>
          <w:lang w:val="en-US"/>
        </w:rPr>
        <w:t xml:space="preserve"> and</w:t>
      </w:r>
    </w:p>
    <w:p w14:paraId="4F8550B1" w14:textId="12C509D8" w:rsidR="006D3698" w:rsidRPr="006D3698" w:rsidRDefault="006D3698" w:rsidP="002B1AB4">
      <w:pPr>
        <w:numPr>
          <w:ilvl w:val="0"/>
          <w:numId w:val="37"/>
        </w:num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>The project demonstrates e</w:t>
      </w:r>
      <w:r w:rsidRPr="006D3698">
        <w:rPr>
          <w:rFonts w:eastAsia="MS Mincho" w:cs="Arial"/>
          <w:sz w:val="22"/>
          <w:lang w:val="en-US"/>
        </w:rPr>
        <w:t>vidence of community participation in the development and implementation of the project</w:t>
      </w:r>
      <w:r w:rsidR="006701AD">
        <w:rPr>
          <w:rFonts w:eastAsia="MS Mincho" w:cs="Arial"/>
          <w:sz w:val="22"/>
          <w:lang w:val="en-US"/>
        </w:rPr>
        <w:t>, and</w:t>
      </w:r>
    </w:p>
    <w:p w14:paraId="4875710A" w14:textId="592A8053" w:rsidR="006D3698" w:rsidRPr="006D3698" w:rsidRDefault="006D3698" w:rsidP="002B1AB4">
      <w:pPr>
        <w:numPr>
          <w:ilvl w:val="0"/>
          <w:numId w:val="37"/>
        </w:num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>The application provides c</w:t>
      </w:r>
      <w:r w:rsidRPr="006D3698">
        <w:rPr>
          <w:rFonts w:eastAsia="MS Mincho" w:cs="Arial"/>
          <w:sz w:val="22"/>
          <w:lang w:val="en-US"/>
        </w:rPr>
        <w:t>onfirmation of alternative funding source of any ongoing costs (e.g. maintenance of facilities).</w:t>
      </w:r>
      <w:r>
        <w:rPr>
          <w:rFonts w:eastAsia="MS Mincho" w:cs="Arial"/>
          <w:sz w:val="22"/>
          <w:lang w:val="en-US"/>
        </w:rPr>
        <w:t xml:space="preserve"> </w:t>
      </w:r>
      <w:r>
        <w:rPr>
          <w:rFonts w:eastAsia="MS Mincho" w:cs="Arial"/>
          <w:i/>
          <w:iCs/>
          <w:sz w:val="22"/>
          <w:lang w:val="en-US"/>
        </w:rPr>
        <w:t>Note – alternative funding source must be verified.</w:t>
      </w:r>
    </w:p>
    <w:p w14:paraId="4E89CA4A" w14:textId="1722666E" w:rsidR="006D3698" w:rsidRDefault="006D3698" w:rsidP="002B1AB4">
      <w:pPr>
        <w:spacing w:after="40"/>
        <w:rPr>
          <w:rFonts w:eastAsia="MS Mincho" w:cs="Arial"/>
          <w:i/>
          <w:iCs/>
          <w:sz w:val="22"/>
          <w:lang w:val="en-US"/>
        </w:rPr>
      </w:pPr>
    </w:p>
    <w:p w14:paraId="7637DE5F" w14:textId="17A5C59F" w:rsidR="006D3698" w:rsidRDefault="006D3698" w:rsidP="002B1AB4">
      <w:pPr>
        <w:spacing w:line="231" w:lineRule="auto"/>
        <w:ind w:right="20"/>
        <w:rPr>
          <w:sz w:val="22"/>
          <w:szCs w:val="24"/>
        </w:rPr>
      </w:pPr>
      <w:r w:rsidRPr="006D3698">
        <w:rPr>
          <w:sz w:val="22"/>
          <w:szCs w:val="24"/>
        </w:rPr>
        <w:t xml:space="preserve">The assessment panel’s recommendations will be used to support funding decisions and will </w:t>
      </w:r>
      <w:r w:rsidR="006701AD" w:rsidRPr="006D3698">
        <w:rPr>
          <w:sz w:val="22"/>
          <w:szCs w:val="24"/>
        </w:rPr>
        <w:t>consider</w:t>
      </w:r>
      <w:r w:rsidRPr="006D3698">
        <w:rPr>
          <w:sz w:val="22"/>
          <w:szCs w:val="24"/>
        </w:rPr>
        <w:t xml:space="preserve"> how strongly each application addresses the program objectives, funding priorities and </w:t>
      </w:r>
      <w:r>
        <w:rPr>
          <w:sz w:val="22"/>
          <w:szCs w:val="24"/>
        </w:rPr>
        <w:t>assessment</w:t>
      </w:r>
      <w:r w:rsidRPr="006D3698">
        <w:rPr>
          <w:sz w:val="22"/>
          <w:szCs w:val="24"/>
        </w:rPr>
        <w:t xml:space="preserve"> criteria. The panel will consider the local needs, emerging community issues, geographical spread of available funds, and to what extent the proposed projects support the purpose of the grant funding.</w:t>
      </w:r>
    </w:p>
    <w:p w14:paraId="7D4CFA37" w14:textId="0D280C5D" w:rsidR="006D3698" w:rsidRDefault="006D3698" w:rsidP="002B1AB4">
      <w:pPr>
        <w:spacing w:line="231" w:lineRule="auto"/>
        <w:ind w:right="20"/>
        <w:rPr>
          <w:sz w:val="22"/>
          <w:szCs w:val="24"/>
        </w:rPr>
      </w:pPr>
    </w:p>
    <w:p w14:paraId="546F1357" w14:textId="2E227EAD" w:rsidR="006D3698" w:rsidRPr="002B1AB4" w:rsidRDefault="006D3698" w:rsidP="00194E2C">
      <w:pPr>
        <w:pStyle w:val="Heading2"/>
      </w:pPr>
      <w:r w:rsidRPr="002B1AB4">
        <w:t>Successful applications</w:t>
      </w:r>
    </w:p>
    <w:p w14:paraId="6D714FD9" w14:textId="77777777" w:rsidR="002B1AB4" w:rsidRDefault="002B1AB4" w:rsidP="002B1AB4">
      <w:pPr>
        <w:spacing w:line="228" w:lineRule="auto"/>
        <w:ind w:right="160"/>
        <w:rPr>
          <w:rFonts w:eastAsia="MS Mincho" w:cs="Arial"/>
          <w:sz w:val="22"/>
          <w:lang w:val="en-US"/>
        </w:rPr>
      </w:pPr>
    </w:p>
    <w:p w14:paraId="51036F28" w14:textId="08046584" w:rsidR="00D7490B" w:rsidRPr="00D7490B" w:rsidRDefault="006D3698" w:rsidP="002B1AB4">
      <w:pPr>
        <w:spacing w:line="228" w:lineRule="auto"/>
        <w:ind w:right="160"/>
        <w:rPr>
          <w:rFonts w:eastAsia="MS Mincho" w:cs="Times New Roman"/>
          <w:sz w:val="22"/>
          <w:lang w:val="en-US"/>
        </w:rPr>
      </w:pPr>
      <w:r>
        <w:rPr>
          <w:rFonts w:eastAsia="MS Mincho" w:cs="Arial"/>
          <w:sz w:val="22"/>
          <w:lang w:val="en-US"/>
        </w:rPr>
        <w:t xml:space="preserve">Successful applicants will be notified </w:t>
      </w:r>
      <w:r w:rsidR="00D7490B">
        <w:rPr>
          <w:rFonts w:eastAsia="MS Mincho" w:cs="Arial"/>
          <w:sz w:val="22"/>
          <w:lang w:val="en-US"/>
        </w:rPr>
        <w:t xml:space="preserve">in writing prior to entering a contract with the Department of Communities, Housing and Digital Economy. </w:t>
      </w:r>
      <w:r w:rsidR="00D7490B">
        <w:rPr>
          <w:rFonts w:eastAsia="MS Mincho" w:cs="Times New Roman"/>
          <w:sz w:val="22"/>
          <w:lang w:val="en-US"/>
        </w:rPr>
        <w:t xml:space="preserve">The contract will outline </w:t>
      </w:r>
      <w:r w:rsidR="00D7490B" w:rsidRPr="00D7490B">
        <w:rPr>
          <w:rFonts w:eastAsia="MS Mincho" w:cs="Times New Roman"/>
          <w:sz w:val="22"/>
          <w:lang w:val="en-US"/>
        </w:rPr>
        <w:t>the obligations of both parties, including</w:t>
      </w:r>
      <w:r w:rsidR="00D7490B">
        <w:rPr>
          <w:rFonts w:eastAsia="MS Mincho" w:cs="Times New Roman"/>
          <w:sz w:val="22"/>
          <w:lang w:val="en-US"/>
        </w:rPr>
        <w:t xml:space="preserve"> </w:t>
      </w:r>
      <w:r w:rsidR="00D7490B" w:rsidRPr="00D7490B">
        <w:rPr>
          <w:rFonts w:eastAsia="MS Mincho" w:cs="Times New Roman"/>
          <w:sz w:val="22"/>
          <w:lang w:val="en-US"/>
        </w:rPr>
        <w:t>funding and payment details, reporting requirements, agreed outcomes and acquittal conditions. The panel may decline certain components of an application or limit the amount of funds approved for individual items.</w:t>
      </w:r>
    </w:p>
    <w:p w14:paraId="36630240" w14:textId="3F108026" w:rsidR="00D7490B" w:rsidRDefault="00D7490B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  <w:r w:rsidRPr="00D7490B">
        <w:rPr>
          <w:rFonts w:eastAsia="MS Mincho" w:cs="Times New Roman"/>
          <w:sz w:val="22"/>
          <w:lang w:val="en-US"/>
        </w:rPr>
        <w:t xml:space="preserve">All successful applicants will be bound to the </w:t>
      </w:r>
      <w:r>
        <w:rPr>
          <w:rFonts w:eastAsia="MS Mincho" w:cs="Times New Roman"/>
          <w:sz w:val="22"/>
          <w:lang w:val="en-US"/>
        </w:rPr>
        <w:t>contract</w:t>
      </w:r>
      <w:r w:rsidRPr="00D7490B">
        <w:rPr>
          <w:rFonts w:eastAsia="MS Mincho" w:cs="Times New Roman"/>
          <w:sz w:val="22"/>
          <w:lang w:val="en-US"/>
        </w:rPr>
        <w:t xml:space="preserve">, </w:t>
      </w:r>
      <w:r>
        <w:rPr>
          <w:rFonts w:eastAsia="MS Mincho" w:cs="Times New Roman"/>
          <w:sz w:val="22"/>
          <w:lang w:val="en-US"/>
        </w:rPr>
        <w:t xml:space="preserve">including standard </w:t>
      </w:r>
      <w:r w:rsidRPr="00D7490B">
        <w:rPr>
          <w:rFonts w:eastAsia="MS Mincho" w:cs="Times New Roman"/>
          <w:sz w:val="22"/>
          <w:lang w:val="en-US"/>
        </w:rPr>
        <w:t>terms and conditions. Additional individual conditions may be specified at the time of approval. If necessary, a revised project plan may be negotiated</w:t>
      </w:r>
      <w:r>
        <w:rPr>
          <w:rFonts w:eastAsia="MS Mincho" w:cs="Times New Roman"/>
          <w:sz w:val="22"/>
          <w:lang w:val="en-US"/>
        </w:rPr>
        <w:t xml:space="preserve"> for submission</w:t>
      </w:r>
      <w:r w:rsidRPr="00D7490B">
        <w:rPr>
          <w:rFonts w:eastAsia="MS Mincho" w:cs="Times New Roman"/>
          <w:sz w:val="22"/>
          <w:lang w:val="en-US"/>
        </w:rPr>
        <w:t>.</w:t>
      </w:r>
    </w:p>
    <w:p w14:paraId="77111681" w14:textId="659957DC" w:rsidR="00D7490B" w:rsidRDefault="00D7490B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</w:p>
    <w:p w14:paraId="46CC7CA5" w14:textId="2BB71EDE" w:rsidR="00D7490B" w:rsidRDefault="00D7490B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  <w:r>
        <w:rPr>
          <w:rFonts w:eastAsia="MS Mincho" w:cs="Times New Roman"/>
          <w:sz w:val="22"/>
          <w:lang w:val="en-US"/>
        </w:rPr>
        <w:t>Funding will be released to successful applicants on a 90%/10% basis. 90% of the total funding approved will be released within 28 days of the contract being executed, with the remaining 10% being released on submission of all required performance and financial reports on project completion.</w:t>
      </w:r>
    </w:p>
    <w:p w14:paraId="18BB4228" w14:textId="5F9F2A86" w:rsidR="00D7490B" w:rsidRDefault="00D7490B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</w:p>
    <w:p w14:paraId="782F4DBD" w14:textId="3B0F35C8" w:rsidR="00D7490B" w:rsidRDefault="00D7490B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  <w:r>
        <w:rPr>
          <w:rFonts w:eastAsia="MS Mincho" w:cs="Times New Roman"/>
          <w:sz w:val="22"/>
          <w:lang w:val="en-US"/>
        </w:rPr>
        <w:t>All project funding will be required to be accrued by no later than 31 December 2022.</w:t>
      </w:r>
    </w:p>
    <w:p w14:paraId="518F1884" w14:textId="79AC5824" w:rsidR="00535E28" w:rsidRDefault="00535E28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</w:p>
    <w:p w14:paraId="63BE5543" w14:textId="2B28010B" w:rsidR="00535E28" w:rsidRDefault="00535E28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  <w:r>
        <w:rPr>
          <w:rFonts w:eastAsia="MS Mincho" w:cs="Times New Roman"/>
          <w:sz w:val="22"/>
          <w:lang w:val="en-US"/>
        </w:rPr>
        <w:t>Unsuccessful applicants will be notified in writing after successful applicants have been notified and contracts executed. Unsuccessful applicants will be able to seek feedback on their applications for a period of six weeks after notification of unsuccessful application outcome has been received.</w:t>
      </w:r>
    </w:p>
    <w:p w14:paraId="43200C40" w14:textId="228EEB5C" w:rsidR="00D7490B" w:rsidRDefault="00D7490B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</w:p>
    <w:p w14:paraId="5FE7E87C" w14:textId="0060E97A" w:rsidR="00D7490B" w:rsidRPr="00D7490B" w:rsidRDefault="00D7490B" w:rsidP="002B1AB4">
      <w:pPr>
        <w:spacing w:after="0" w:line="225" w:lineRule="auto"/>
        <w:ind w:right="340"/>
        <w:rPr>
          <w:rFonts w:eastAsia="MS Mincho" w:cs="Times New Roman"/>
          <w:sz w:val="22"/>
          <w:lang w:val="en-US"/>
        </w:rPr>
      </w:pPr>
    </w:p>
    <w:p w14:paraId="20E98FDD" w14:textId="53E2EA10" w:rsidR="00D7490B" w:rsidRPr="002B1AB4" w:rsidRDefault="00D7490B" w:rsidP="00194E2C">
      <w:pPr>
        <w:pStyle w:val="Heading2"/>
      </w:pPr>
      <w:bookmarkStart w:id="4" w:name="_Hlk83046055"/>
      <w:r w:rsidRPr="002B1AB4">
        <w:t>Project reporting requirements</w:t>
      </w:r>
    </w:p>
    <w:p w14:paraId="3CF92131" w14:textId="77777777" w:rsidR="002B1AB4" w:rsidRDefault="002B1AB4" w:rsidP="006D3698">
      <w:pPr>
        <w:spacing w:after="40"/>
        <w:jc w:val="both"/>
        <w:rPr>
          <w:rFonts w:eastAsia="MS Mincho" w:cs="Arial"/>
          <w:sz w:val="22"/>
          <w:lang w:val="en-US"/>
        </w:rPr>
      </w:pPr>
      <w:bookmarkStart w:id="5" w:name="_Hlk83045529"/>
      <w:bookmarkEnd w:id="4"/>
    </w:p>
    <w:p w14:paraId="091051A7" w14:textId="4C824761" w:rsidR="007C70CE" w:rsidRDefault="007C70CE" w:rsidP="002B1AB4">
      <w:p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lastRenderedPageBreak/>
        <w:t>Small Grant funding recipients are required to submit the following reports:</w:t>
      </w:r>
    </w:p>
    <w:p w14:paraId="6320DFA9" w14:textId="522DC844" w:rsidR="007C70CE" w:rsidRDefault="007C70CE" w:rsidP="002B1AB4">
      <w:pPr>
        <w:numPr>
          <w:ilvl w:val="0"/>
          <w:numId w:val="38"/>
        </w:numPr>
        <w:spacing w:after="40"/>
        <w:rPr>
          <w:rFonts w:eastAsia="MS Mincho" w:cs="Arial"/>
          <w:sz w:val="22"/>
          <w:lang w:val="en-US"/>
        </w:rPr>
      </w:pPr>
      <w:r w:rsidRPr="007C70CE">
        <w:rPr>
          <w:rFonts w:eastAsia="MS Mincho" w:cs="Arial"/>
          <w:sz w:val="22"/>
          <w:lang w:val="en-US"/>
        </w:rPr>
        <w:t xml:space="preserve">A project plan on provided template outlining milestones, timelines etc within the first </w:t>
      </w:r>
      <w:r w:rsidRPr="007C70CE">
        <w:rPr>
          <w:rFonts w:eastAsia="MS Mincho" w:cs="Arial"/>
          <w:b/>
          <w:bCs/>
          <w:sz w:val="22"/>
          <w:lang w:val="en-US"/>
        </w:rPr>
        <w:t>three months</w:t>
      </w:r>
      <w:r w:rsidRPr="007C70CE">
        <w:rPr>
          <w:rFonts w:eastAsia="MS Mincho" w:cs="Arial"/>
          <w:sz w:val="22"/>
          <w:lang w:val="en-US"/>
        </w:rPr>
        <w:t xml:space="preserve"> of the contract commencing,</w:t>
      </w:r>
    </w:p>
    <w:p w14:paraId="31DF3F49" w14:textId="38BCC708" w:rsidR="007C70CE" w:rsidRPr="00704E5F" w:rsidRDefault="007C70CE" w:rsidP="002B1AB4">
      <w:pPr>
        <w:pStyle w:val="ListParagraph"/>
        <w:numPr>
          <w:ilvl w:val="0"/>
          <w:numId w:val="38"/>
        </w:numPr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 xml:space="preserve">A project completion report on a provided template within </w:t>
      </w:r>
      <w:r w:rsidRPr="00704E5F">
        <w:rPr>
          <w:rFonts w:eastAsia="MS Mincho" w:cs="Arial"/>
          <w:b/>
          <w:bCs/>
          <w:sz w:val="22"/>
          <w:lang w:val="en-US"/>
        </w:rPr>
        <w:t>three months</w:t>
      </w:r>
      <w:r>
        <w:rPr>
          <w:rFonts w:eastAsia="MS Mincho" w:cs="Arial"/>
          <w:sz w:val="22"/>
          <w:lang w:val="en-US"/>
        </w:rPr>
        <w:t xml:space="preserve"> of project completion or contract expiry. The project completion report should detail project deliverables and achievements against the submitted project plan. </w:t>
      </w:r>
      <w:r w:rsidRPr="00704E5F">
        <w:rPr>
          <w:rFonts w:eastAsia="MS Mincho" w:cs="Arial"/>
          <w:sz w:val="22"/>
          <w:lang w:val="en-US"/>
        </w:rPr>
        <w:t>Supporting documentation such as photographs, newspaper articles, social media promotion should also be included with the project completion report as appropriate.</w:t>
      </w:r>
      <w:r>
        <w:rPr>
          <w:rFonts w:eastAsia="MS Mincho" w:cs="Arial"/>
          <w:sz w:val="22"/>
          <w:lang w:val="en-US"/>
        </w:rPr>
        <w:t xml:space="preserve"> </w:t>
      </w:r>
      <w:r w:rsidRPr="00704E5F">
        <w:rPr>
          <w:rFonts w:eastAsia="MS Mincho" w:cs="Arial"/>
          <w:sz w:val="22"/>
          <w:lang w:val="en-US"/>
        </w:rPr>
        <w:t>The project completion report must be signed by an appropriate organisation or group delegate.</w:t>
      </w:r>
    </w:p>
    <w:p w14:paraId="141B8ECE" w14:textId="293F2604" w:rsidR="007C70CE" w:rsidRPr="007C70CE" w:rsidRDefault="007C70CE" w:rsidP="002B1AB4">
      <w:pPr>
        <w:pStyle w:val="ListParagraph"/>
        <w:numPr>
          <w:ilvl w:val="0"/>
          <w:numId w:val="38"/>
        </w:numPr>
        <w:rPr>
          <w:rFonts w:eastAsia="MS Mincho" w:cs="Arial"/>
          <w:sz w:val="22"/>
          <w:lang w:val="en-US"/>
        </w:rPr>
      </w:pPr>
      <w:r w:rsidRPr="007C70CE">
        <w:rPr>
          <w:rFonts w:eastAsia="MS Mincho" w:cs="Arial"/>
          <w:sz w:val="22"/>
          <w:lang w:val="en-US"/>
        </w:rPr>
        <w:t>A detailed general ledger or transaction report supporting the claimed final expenditure</w:t>
      </w:r>
      <w:r>
        <w:rPr>
          <w:rFonts w:eastAsia="MS Mincho" w:cs="Arial"/>
          <w:sz w:val="22"/>
          <w:lang w:val="en-US"/>
        </w:rPr>
        <w:t xml:space="preserve"> within </w:t>
      </w:r>
      <w:r w:rsidRPr="007C70CE">
        <w:rPr>
          <w:rFonts w:eastAsia="MS Mincho" w:cs="Arial"/>
          <w:b/>
          <w:bCs/>
          <w:sz w:val="22"/>
          <w:lang w:val="en-US"/>
        </w:rPr>
        <w:t>three months</w:t>
      </w:r>
      <w:r>
        <w:rPr>
          <w:rFonts w:eastAsia="MS Mincho" w:cs="Arial"/>
          <w:sz w:val="22"/>
          <w:lang w:val="en-US"/>
        </w:rPr>
        <w:t xml:space="preserve"> of project completion or </w:t>
      </w:r>
      <w:r w:rsidR="004A0193">
        <w:rPr>
          <w:rFonts w:eastAsia="MS Mincho" w:cs="Arial"/>
          <w:sz w:val="22"/>
          <w:lang w:val="en-US"/>
        </w:rPr>
        <w:t>by no later than 31 March 2023</w:t>
      </w:r>
      <w:r w:rsidRPr="007C70CE">
        <w:rPr>
          <w:rFonts w:eastAsia="MS Mincho" w:cs="Arial"/>
          <w:sz w:val="22"/>
          <w:lang w:val="en-US"/>
        </w:rPr>
        <w:t>.</w:t>
      </w:r>
    </w:p>
    <w:p w14:paraId="2A5BE513" w14:textId="77777777" w:rsidR="007C70CE" w:rsidRDefault="007C70CE" w:rsidP="002B1AB4">
      <w:pPr>
        <w:spacing w:after="40"/>
        <w:rPr>
          <w:rFonts w:eastAsia="MS Mincho" w:cs="Arial"/>
          <w:sz w:val="22"/>
          <w:lang w:val="en-US"/>
        </w:rPr>
      </w:pPr>
    </w:p>
    <w:bookmarkEnd w:id="5"/>
    <w:p w14:paraId="60B958FE" w14:textId="3F97A70E" w:rsidR="00704E5F" w:rsidRDefault="00704E5F" w:rsidP="002B1AB4">
      <w:p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>Large Grant funding recipients are required to submit the following reports:</w:t>
      </w:r>
    </w:p>
    <w:p w14:paraId="37F0AC76" w14:textId="683CCAB4" w:rsidR="00704E5F" w:rsidRDefault="00704E5F" w:rsidP="002B1AB4">
      <w:pPr>
        <w:pStyle w:val="ListParagraph"/>
        <w:numPr>
          <w:ilvl w:val="0"/>
          <w:numId w:val="38"/>
        </w:numPr>
        <w:spacing w:after="40"/>
        <w:rPr>
          <w:rFonts w:eastAsia="MS Mincho" w:cs="Arial"/>
          <w:sz w:val="22"/>
          <w:lang w:val="en-US"/>
        </w:rPr>
      </w:pPr>
      <w:bookmarkStart w:id="6" w:name="_Hlk83287011"/>
      <w:r>
        <w:rPr>
          <w:rFonts w:eastAsia="MS Mincho" w:cs="Arial"/>
          <w:sz w:val="22"/>
          <w:lang w:val="en-US"/>
        </w:rPr>
        <w:t xml:space="preserve">A project plan on provided template outlining milestones, timelines etc within the first </w:t>
      </w:r>
      <w:r w:rsidRPr="00704E5F">
        <w:rPr>
          <w:rFonts w:eastAsia="MS Mincho" w:cs="Arial"/>
          <w:b/>
          <w:bCs/>
          <w:sz w:val="22"/>
          <w:lang w:val="en-US"/>
        </w:rPr>
        <w:t>three months</w:t>
      </w:r>
      <w:r>
        <w:rPr>
          <w:rFonts w:eastAsia="MS Mincho" w:cs="Arial"/>
          <w:sz w:val="22"/>
          <w:lang w:val="en-US"/>
        </w:rPr>
        <w:t xml:space="preserve"> of the contract commencing,</w:t>
      </w:r>
    </w:p>
    <w:bookmarkEnd w:id="6"/>
    <w:p w14:paraId="7F393C6B" w14:textId="604D4317" w:rsidR="00704E5F" w:rsidRDefault="00704E5F" w:rsidP="002B1AB4">
      <w:pPr>
        <w:pStyle w:val="ListParagraph"/>
        <w:numPr>
          <w:ilvl w:val="0"/>
          <w:numId w:val="38"/>
        </w:num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 xml:space="preserve">A detailed </w:t>
      </w:r>
      <w:r w:rsidRPr="00704E5F">
        <w:rPr>
          <w:rFonts w:eastAsia="MS Mincho" w:cs="Arial"/>
          <w:b/>
          <w:bCs/>
          <w:sz w:val="22"/>
          <w:lang w:val="en-US"/>
        </w:rPr>
        <w:t>quarterly</w:t>
      </w:r>
      <w:r>
        <w:rPr>
          <w:rFonts w:eastAsia="MS Mincho" w:cs="Arial"/>
          <w:sz w:val="22"/>
          <w:lang w:val="en-US"/>
        </w:rPr>
        <w:t xml:space="preserve"> general ledger (in excel format) supporting project expenditure for the previous quarter within 28 days after the end of the quarter,</w:t>
      </w:r>
    </w:p>
    <w:p w14:paraId="7899FF21" w14:textId="3D2C550C" w:rsidR="00704E5F" w:rsidRPr="00704E5F" w:rsidRDefault="00704E5F" w:rsidP="002B1AB4">
      <w:pPr>
        <w:pStyle w:val="ListParagraph"/>
        <w:numPr>
          <w:ilvl w:val="0"/>
          <w:numId w:val="38"/>
        </w:numPr>
        <w:rPr>
          <w:rFonts w:eastAsia="MS Mincho" w:cs="Arial"/>
          <w:sz w:val="22"/>
          <w:lang w:val="en-US"/>
        </w:rPr>
      </w:pPr>
      <w:bookmarkStart w:id="7" w:name="_Hlk83287062"/>
      <w:r>
        <w:rPr>
          <w:rFonts w:eastAsia="MS Mincho" w:cs="Arial"/>
          <w:sz w:val="22"/>
          <w:lang w:val="en-US"/>
        </w:rPr>
        <w:t xml:space="preserve">A project completion report on a provided template within </w:t>
      </w:r>
      <w:r w:rsidRPr="00704E5F">
        <w:rPr>
          <w:rFonts w:eastAsia="MS Mincho" w:cs="Arial"/>
          <w:b/>
          <w:bCs/>
          <w:sz w:val="22"/>
          <w:lang w:val="en-US"/>
        </w:rPr>
        <w:t>three months</w:t>
      </w:r>
      <w:r>
        <w:rPr>
          <w:rFonts w:eastAsia="MS Mincho" w:cs="Arial"/>
          <w:sz w:val="22"/>
          <w:lang w:val="en-US"/>
        </w:rPr>
        <w:t xml:space="preserve"> of project completion or contract expiry. The project completion report should detail project deliverables and achievements against the submitted project plan. </w:t>
      </w:r>
      <w:r w:rsidRPr="00704E5F">
        <w:rPr>
          <w:rFonts w:eastAsia="MS Mincho" w:cs="Arial"/>
          <w:sz w:val="22"/>
          <w:lang w:val="en-US"/>
        </w:rPr>
        <w:t>Supporting documentation such as photographs, newspaper articles, social media promotion should also be included with the project completion report as appropriate.</w:t>
      </w:r>
      <w:r>
        <w:rPr>
          <w:rFonts w:eastAsia="MS Mincho" w:cs="Arial"/>
          <w:sz w:val="22"/>
          <w:lang w:val="en-US"/>
        </w:rPr>
        <w:t xml:space="preserve"> </w:t>
      </w:r>
      <w:r w:rsidRPr="00704E5F">
        <w:rPr>
          <w:rFonts w:eastAsia="MS Mincho" w:cs="Arial"/>
          <w:sz w:val="22"/>
          <w:lang w:val="en-US"/>
        </w:rPr>
        <w:t>The project completion report must be signed by an appropriate organisation or group delegate.</w:t>
      </w:r>
    </w:p>
    <w:bookmarkEnd w:id="7"/>
    <w:p w14:paraId="252B5057" w14:textId="40616EAF" w:rsidR="00704E5F" w:rsidRDefault="00704E5F" w:rsidP="002B1AB4">
      <w:pPr>
        <w:pStyle w:val="ListParagraph"/>
        <w:numPr>
          <w:ilvl w:val="0"/>
          <w:numId w:val="38"/>
        </w:num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 xml:space="preserve">An </w:t>
      </w:r>
      <w:r w:rsidR="00717BED">
        <w:rPr>
          <w:rFonts w:eastAsia="MS Mincho" w:cs="Arial"/>
          <w:sz w:val="22"/>
          <w:lang w:val="en-US"/>
        </w:rPr>
        <w:t>independently audited</w:t>
      </w:r>
      <w:r>
        <w:rPr>
          <w:rFonts w:eastAsia="MS Mincho" w:cs="Arial"/>
          <w:sz w:val="22"/>
          <w:lang w:val="en-US"/>
        </w:rPr>
        <w:t xml:space="preserve"> financial report covering full project expenditure</w:t>
      </w:r>
      <w:r w:rsidR="00717BED">
        <w:rPr>
          <w:rFonts w:eastAsia="MS Mincho" w:cs="Arial"/>
          <w:sz w:val="22"/>
          <w:lang w:val="en-US"/>
        </w:rPr>
        <w:t xml:space="preserve"> within </w:t>
      </w:r>
      <w:r w:rsidR="00717BED" w:rsidRPr="00717BED">
        <w:rPr>
          <w:rFonts w:eastAsia="MS Mincho" w:cs="Arial"/>
          <w:b/>
          <w:bCs/>
          <w:sz w:val="22"/>
          <w:lang w:val="en-US"/>
        </w:rPr>
        <w:t>three months</w:t>
      </w:r>
      <w:r w:rsidR="00717BED">
        <w:rPr>
          <w:rFonts w:eastAsia="MS Mincho" w:cs="Arial"/>
          <w:sz w:val="22"/>
          <w:lang w:val="en-US"/>
        </w:rPr>
        <w:t xml:space="preserve"> of project completion </w:t>
      </w:r>
      <w:r w:rsidR="004A0193">
        <w:rPr>
          <w:rFonts w:eastAsia="MS Mincho" w:cs="Arial"/>
          <w:sz w:val="22"/>
          <w:lang w:val="en-US"/>
        </w:rPr>
        <w:t>or by no later than 31 March 2023</w:t>
      </w:r>
      <w:r w:rsidR="00717BED">
        <w:rPr>
          <w:rFonts w:eastAsia="MS Mincho" w:cs="Arial"/>
          <w:sz w:val="22"/>
          <w:lang w:val="en-US"/>
        </w:rPr>
        <w:t>.</w:t>
      </w:r>
    </w:p>
    <w:p w14:paraId="2182DE74" w14:textId="0FC9A218" w:rsidR="00717BED" w:rsidRDefault="00717BED" w:rsidP="002B1AB4">
      <w:pPr>
        <w:spacing w:after="40"/>
        <w:rPr>
          <w:rFonts w:eastAsia="MS Mincho" w:cs="Arial"/>
          <w:sz w:val="22"/>
          <w:lang w:val="en-US"/>
        </w:rPr>
      </w:pPr>
    </w:p>
    <w:p w14:paraId="455C1975" w14:textId="1449ACED" w:rsidR="00717BED" w:rsidRPr="00717BED" w:rsidRDefault="00717BED" w:rsidP="002B1AB4">
      <w:pPr>
        <w:spacing w:after="40"/>
        <w:rPr>
          <w:rFonts w:eastAsia="MS Mincho" w:cs="Arial"/>
          <w:sz w:val="22"/>
          <w:lang w:val="en-US"/>
        </w:rPr>
      </w:pPr>
      <w:r>
        <w:rPr>
          <w:rFonts w:eastAsia="MS Mincho" w:cs="Arial"/>
          <w:sz w:val="22"/>
          <w:lang w:val="en-US"/>
        </w:rPr>
        <w:t xml:space="preserve">NB – the remaining 10% </w:t>
      </w:r>
      <w:r w:rsidR="007C70CE">
        <w:rPr>
          <w:rFonts w:eastAsia="MS Mincho" w:cs="Arial"/>
          <w:sz w:val="22"/>
          <w:lang w:val="en-US"/>
        </w:rPr>
        <w:t xml:space="preserve">of </w:t>
      </w:r>
      <w:r>
        <w:rPr>
          <w:rFonts w:eastAsia="MS Mincho" w:cs="Arial"/>
          <w:sz w:val="22"/>
          <w:lang w:val="en-US"/>
        </w:rPr>
        <w:t>project funding will not be released until all required reports are received</w:t>
      </w:r>
      <w:r w:rsidR="007C70CE">
        <w:rPr>
          <w:rFonts w:eastAsia="MS Mincho" w:cs="Arial"/>
          <w:sz w:val="22"/>
          <w:lang w:val="en-US"/>
        </w:rPr>
        <w:t xml:space="preserve"> by the department</w:t>
      </w:r>
      <w:r>
        <w:rPr>
          <w:rFonts w:eastAsia="MS Mincho" w:cs="Arial"/>
          <w:sz w:val="22"/>
          <w:lang w:val="en-US"/>
        </w:rPr>
        <w:t xml:space="preserve"> on provided templates or as otherwise specified in the contracts.</w:t>
      </w:r>
    </w:p>
    <w:p w14:paraId="2CECEB0C" w14:textId="4ABF1094" w:rsidR="006D3698" w:rsidRPr="002B1AB4" w:rsidRDefault="006D3698" w:rsidP="002B1AB4">
      <w:pPr>
        <w:rPr>
          <w:b/>
          <w:bCs/>
          <w:sz w:val="22"/>
          <w:szCs w:val="24"/>
          <w:lang w:eastAsia="en-AU"/>
        </w:rPr>
      </w:pPr>
    </w:p>
    <w:p w14:paraId="24CEE39F" w14:textId="449F3818" w:rsidR="00717BED" w:rsidRPr="002B1AB4" w:rsidRDefault="00717BED" w:rsidP="00194E2C">
      <w:pPr>
        <w:pStyle w:val="Heading2"/>
        <w:tabs>
          <w:tab w:val="clear" w:pos="960"/>
        </w:tabs>
      </w:pPr>
      <w:bookmarkStart w:id="8" w:name="_Hlk83046413"/>
      <w:r w:rsidRPr="002B1AB4">
        <w:t>Acknowledgement of joint Commonwealth and State Funding</w:t>
      </w:r>
    </w:p>
    <w:bookmarkEnd w:id="8"/>
    <w:p w14:paraId="43B9A943" w14:textId="77777777" w:rsidR="002B1AB4" w:rsidRDefault="002B1AB4" w:rsidP="002B1AB4">
      <w:pPr>
        <w:spacing w:line="231" w:lineRule="auto"/>
        <w:ind w:right="20"/>
        <w:rPr>
          <w:sz w:val="22"/>
        </w:rPr>
      </w:pPr>
    </w:p>
    <w:p w14:paraId="72E37B6C" w14:textId="72B5CE56" w:rsidR="00717BED" w:rsidRDefault="00717BED" w:rsidP="002B1AB4">
      <w:pPr>
        <w:spacing w:line="231" w:lineRule="auto"/>
        <w:ind w:right="20"/>
        <w:rPr>
          <w:sz w:val="22"/>
        </w:rPr>
      </w:pPr>
      <w:r>
        <w:rPr>
          <w:sz w:val="22"/>
        </w:rPr>
        <w:t xml:space="preserve">All successful project funding will be required to publicly acknowledge funding under the </w:t>
      </w:r>
      <w:hyperlink r:id="rId19" w:history="1">
        <w:r w:rsidRPr="00717BED">
          <w:rPr>
            <w:rStyle w:val="Hyperlink"/>
            <w:sz w:val="22"/>
          </w:rPr>
          <w:t>Disaster Recovery Funding Arrangements 2018</w:t>
        </w:r>
      </w:hyperlink>
      <w:r>
        <w:rPr>
          <w:sz w:val="22"/>
        </w:rPr>
        <w:t>.</w:t>
      </w:r>
    </w:p>
    <w:p w14:paraId="6DF96507" w14:textId="64C240FD" w:rsidR="00717BED" w:rsidRDefault="00717BED" w:rsidP="002B1AB4">
      <w:pPr>
        <w:spacing w:line="231" w:lineRule="auto"/>
        <w:ind w:right="20"/>
        <w:rPr>
          <w:sz w:val="22"/>
        </w:rPr>
      </w:pPr>
      <w:r>
        <w:rPr>
          <w:sz w:val="22"/>
        </w:rPr>
        <w:t xml:space="preserve">All events and materials produced must adhere to the </w:t>
      </w:r>
      <w:hyperlink r:id="rId20" w:history="1">
        <w:r w:rsidRPr="00535E28">
          <w:rPr>
            <w:rStyle w:val="Hyperlink"/>
            <w:sz w:val="22"/>
          </w:rPr>
          <w:t>Disaster R</w:t>
        </w:r>
        <w:r w:rsidR="00535E28" w:rsidRPr="00535E28">
          <w:rPr>
            <w:rStyle w:val="Hyperlink"/>
            <w:sz w:val="22"/>
          </w:rPr>
          <w:t>ecovery Media and Public Acknowledgement Requirements</w:t>
        </w:r>
      </w:hyperlink>
      <w:r w:rsidR="002B1AB4">
        <w:rPr>
          <w:sz w:val="22"/>
        </w:rPr>
        <w:t>.</w:t>
      </w:r>
    </w:p>
    <w:p w14:paraId="19025703" w14:textId="57EEB184" w:rsidR="00535E28" w:rsidRDefault="00535E28" w:rsidP="002B1AB4">
      <w:pPr>
        <w:spacing w:line="231" w:lineRule="auto"/>
        <w:ind w:right="20"/>
        <w:rPr>
          <w:sz w:val="22"/>
        </w:rPr>
      </w:pPr>
    </w:p>
    <w:p w14:paraId="66B7E6BD" w14:textId="27682B45" w:rsidR="00535E28" w:rsidRPr="002B1AB4" w:rsidRDefault="00535E28" w:rsidP="00194E2C">
      <w:pPr>
        <w:pStyle w:val="Heading2"/>
      </w:pPr>
      <w:r w:rsidRPr="002B1AB4">
        <w:t>Grant program enquiries</w:t>
      </w:r>
    </w:p>
    <w:p w14:paraId="024964B0" w14:textId="77777777" w:rsidR="002B1AB4" w:rsidRDefault="002B1AB4" w:rsidP="002B1AB4">
      <w:pPr>
        <w:spacing w:line="231" w:lineRule="auto"/>
        <w:ind w:right="20"/>
        <w:rPr>
          <w:sz w:val="22"/>
          <w:szCs w:val="24"/>
        </w:rPr>
      </w:pPr>
    </w:p>
    <w:p w14:paraId="4A61505A" w14:textId="7AAE0D83" w:rsidR="00535E28" w:rsidRDefault="00535E28" w:rsidP="002B1AB4">
      <w:pPr>
        <w:spacing w:line="231" w:lineRule="auto"/>
        <w:ind w:right="20"/>
        <w:rPr>
          <w:sz w:val="22"/>
          <w:szCs w:val="24"/>
        </w:rPr>
      </w:pPr>
      <w:r>
        <w:rPr>
          <w:sz w:val="22"/>
          <w:szCs w:val="24"/>
        </w:rPr>
        <w:t xml:space="preserve">Please direct all </w:t>
      </w:r>
      <w:r w:rsidR="00B6211A">
        <w:rPr>
          <w:sz w:val="22"/>
          <w:szCs w:val="24"/>
        </w:rPr>
        <w:t>enquiries</w:t>
      </w:r>
      <w:r>
        <w:rPr>
          <w:sz w:val="22"/>
          <w:szCs w:val="24"/>
        </w:rPr>
        <w:t xml:space="preserve"> regarding this grant program, including matters such as funding criteria, late </w:t>
      </w:r>
      <w:proofErr w:type="gramStart"/>
      <w:r>
        <w:rPr>
          <w:sz w:val="22"/>
          <w:szCs w:val="24"/>
        </w:rPr>
        <w:t>applications</w:t>
      </w:r>
      <w:proofErr w:type="gramEnd"/>
      <w:r>
        <w:rPr>
          <w:sz w:val="22"/>
          <w:szCs w:val="24"/>
        </w:rPr>
        <w:t xml:space="preserve"> and feedback on funding outcomes via email to </w:t>
      </w:r>
      <w:hyperlink r:id="rId21" w:history="1">
        <w:r w:rsidRPr="00057812">
          <w:rPr>
            <w:rStyle w:val="Hyperlink"/>
            <w:sz w:val="22"/>
            <w:szCs w:val="24"/>
          </w:rPr>
          <w:t>grantqueries@communities.qld.gov.au</w:t>
        </w:r>
      </w:hyperlink>
      <w:r>
        <w:rPr>
          <w:sz w:val="22"/>
          <w:szCs w:val="24"/>
        </w:rPr>
        <w:t>.</w:t>
      </w:r>
    </w:p>
    <w:p w14:paraId="1EEBD44F" w14:textId="73D529C4" w:rsidR="00717BED" w:rsidRPr="002B1AB4" w:rsidRDefault="006701AD" w:rsidP="002B1AB4">
      <w:pPr>
        <w:spacing w:line="231" w:lineRule="auto"/>
        <w:ind w:right="20"/>
        <w:rPr>
          <w:sz w:val="22"/>
          <w:szCs w:val="24"/>
        </w:rPr>
      </w:pPr>
      <w:r>
        <w:rPr>
          <w:sz w:val="22"/>
          <w:szCs w:val="24"/>
        </w:rPr>
        <w:t>Due to the high volume of enquiries received to the Grant Queries mailbox, all efforts will be made to respond to email enquires within two</w:t>
      </w:r>
      <w:r w:rsidR="00194E2C">
        <w:rPr>
          <w:sz w:val="22"/>
          <w:szCs w:val="24"/>
        </w:rPr>
        <w:t xml:space="preserve"> (2)</w:t>
      </w:r>
      <w:r>
        <w:rPr>
          <w:sz w:val="22"/>
          <w:szCs w:val="24"/>
        </w:rPr>
        <w:t xml:space="preserve"> business days. In the first instance queries will be responded to from a Grants Officer by email.</w:t>
      </w:r>
    </w:p>
    <w:sectPr w:rsidR="00717BED" w:rsidRPr="002B1AB4" w:rsidSect="00825FAA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590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52787" w14:textId="77777777" w:rsidR="00F752DB" w:rsidRDefault="00F752DB" w:rsidP="00F752DB">
      <w:pPr>
        <w:spacing w:after="0"/>
      </w:pPr>
      <w:r>
        <w:separator/>
      </w:r>
    </w:p>
  </w:endnote>
  <w:endnote w:type="continuationSeparator" w:id="0">
    <w:p w14:paraId="7D7A0055" w14:textId="77777777" w:rsidR="00F752DB" w:rsidRDefault="00F752DB" w:rsidP="00F75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0B69E" w14:textId="47FABBDF" w:rsidR="007A7AD0" w:rsidRPr="00381F07" w:rsidRDefault="005A7EB2" w:rsidP="00563939">
    <w:pPr>
      <w:pStyle w:val="Footer"/>
      <w:pBdr>
        <w:top w:val="single" w:sz="4" w:space="8" w:color="7F7F7F" w:themeColor="text1" w:themeTint="80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3A1CD0">
      <w:rPr>
        <w:noProof/>
        <w:color w:val="404040" w:themeColor="text1" w:themeTint="BF"/>
      </w:rPr>
      <w:fldChar w:fldCharType="begin"/>
    </w:r>
    <w:r w:rsidR="003A1CD0">
      <w:rPr>
        <w:noProof/>
        <w:color w:val="404040" w:themeColor="text1" w:themeTint="BF"/>
      </w:rPr>
      <w:instrText xml:space="preserve"> PAGE   \* MERGEFORMAT </w:instrText>
    </w:r>
    <w:r w:rsidR="003A1CD0">
      <w:rPr>
        <w:noProof/>
        <w:color w:val="404040" w:themeColor="text1" w:themeTint="BF"/>
      </w:rPr>
      <w:fldChar w:fldCharType="separate"/>
    </w:r>
    <w:r w:rsidR="003A1CD0">
      <w:rPr>
        <w:noProof/>
        <w:color w:val="404040" w:themeColor="text1" w:themeTint="BF"/>
      </w:rPr>
      <w:t>2</w:t>
    </w:r>
    <w:r w:rsidR="003A1CD0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D6161" w14:textId="41938F1C" w:rsidR="00825FAA" w:rsidRDefault="00825FAA" w:rsidP="00825FAA">
    <w:pPr>
      <w:pStyle w:val="Footer"/>
      <w:rPr>
        <w:rFonts w:cs="Arial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80342B0" wp14:editId="7A98D6EB">
          <wp:simplePos x="0" y="0"/>
          <wp:positionH relativeFrom="margin">
            <wp:align>left</wp:align>
          </wp:positionH>
          <wp:positionV relativeFrom="margin">
            <wp:posOffset>7724775</wp:posOffset>
          </wp:positionV>
          <wp:extent cx="1609725" cy="1028700"/>
          <wp:effectExtent l="0" t="0" r="9525" b="0"/>
          <wp:wrapSquare wrapText="bothSides"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2BB07" w14:textId="2A7A550D" w:rsidR="00825FAA" w:rsidRDefault="00825FAA" w:rsidP="00825FAA">
    <w:pPr>
      <w:pStyle w:val="Footer"/>
      <w:rPr>
        <w:rFonts w:cs="Arial"/>
      </w:rPr>
    </w:pPr>
  </w:p>
  <w:p w14:paraId="321D8FAB" w14:textId="331D5296" w:rsidR="00825FAA" w:rsidRDefault="00825FAA" w:rsidP="00825FAA">
    <w:pPr>
      <w:pStyle w:val="Footer"/>
      <w:rPr>
        <w:rFonts w:cs="Arial"/>
      </w:rPr>
    </w:pPr>
  </w:p>
  <w:p w14:paraId="06F61891" w14:textId="77777777" w:rsidR="00825FAA" w:rsidRDefault="00825FAA" w:rsidP="00825FAA">
    <w:pPr>
      <w:pStyle w:val="Footer"/>
      <w:rPr>
        <w:rFonts w:cs="Arial"/>
      </w:rPr>
    </w:pPr>
  </w:p>
  <w:p w14:paraId="50F0B9D3" w14:textId="2F0D9A3C" w:rsidR="00825FAA" w:rsidRDefault="00825FAA" w:rsidP="00825FAA">
    <w:pPr>
      <w:pStyle w:val="Footer"/>
      <w:rPr>
        <w:rFonts w:cs="Arial"/>
      </w:rPr>
    </w:pPr>
    <w:r>
      <w:rPr>
        <w:rFonts w:cs="Arial"/>
      </w:rPr>
      <w:t>This initiative is join</w:t>
    </w:r>
    <w:r w:rsidRPr="00377E39">
      <w:rPr>
        <w:rFonts w:cs="Arial"/>
      </w:rPr>
      <w:t>tly funded under the Commonwealth/State Disaster Recovery Funding Arrangements.</w:t>
    </w:r>
  </w:p>
  <w:p w14:paraId="3E15A3FA" w14:textId="77777777" w:rsidR="00825FAA" w:rsidRDefault="00825FAA" w:rsidP="00825FAA">
    <w:pPr>
      <w:pStyle w:val="Footer"/>
      <w:rPr>
        <w:rFonts w:cs="Arial"/>
      </w:rPr>
    </w:pPr>
  </w:p>
  <w:p w14:paraId="739CF76A" w14:textId="77777777" w:rsidR="00825FAA" w:rsidRDefault="00825FAA" w:rsidP="00825FAA">
    <w:pPr>
      <w:pStyle w:val="Footer"/>
      <w:jc w:val="right"/>
      <w:rPr>
        <w:noProof/>
        <w:lang w:eastAsia="en-AU"/>
      </w:rPr>
    </w:pPr>
  </w:p>
  <w:p w14:paraId="5F407CDE" w14:textId="55CD571B" w:rsidR="00825FAA" w:rsidRDefault="00825FAA" w:rsidP="00825FAA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F9EE47" wp14:editId="5F57199F">
          <wp:simplePos x="5105400" y="10077450"/>
          <wp:positionH relativeFrom="margin">
            <wp:align>right</wp:align>
          </wp:positionH>
          <wp:positionV relativeFrom="margin">
            <wp:align>bottom</wp:align>
          </wp:positionV>
          <wp:extent cx="1541780" cy="485775"/>
          <wp:effectExtent l="0" t="0" r="1270" b="9525"/>
          <wp:wrapSquare wrapText="bothSides"/>
          <wp:docPr id="153" name="Picture 153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E0190C" w14:textId="60AC7E23" w:rsidR="000140F8" w:rsidRDefault="0019382D" w:rsidP="0019382D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65280" w14:textId="77777777" w:rsidR="00F752DB" w:rsidRDefault="00F752DB" w:rsidP="00F752DB">
      <w:pPr>
        <w:spacing w:after="0"/>
      </w:pPr>
      <w:bookmarkStart w:id="0" w:name="_Hlk83039077"/>
      <w:bookmarkEnd w:id="0"/>
      <w:r>
        <w:separator/>
      </w:r>
    </w:p>
  </w:footnote>
  <w:footnote w:type="continuationSeparator" w:id="0">
    <w:p w14:paraId="608AB067" w14:textId="77777777" w:rsidR="00F752DB" w:rsidRDefault="00F752DB" w:rsidP="00F75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45E9" w14:textId="65DDB5EA" w:rsidR="00F752DB" w:rsidRPr="00AB0F2F" w:rsidRDefault="001D591D" w:rsidP="00563939">
    <w:pPr>
      <w:pStyle w:val="Header"/>
      <w:pBdr>
        <w:bottom w:val="single" w:sz="4" w:space="8" w:color="7F7F7F" w:themeColor="text1" w:themeTint="80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1568223084"/>
        <w:placeholder>
          <w:docPart w:val="D5BDEBBEC39346DC9D930D24F33D7B7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5FAA">
          <w:rPr>
            <w:color w:val="404040" w:themeColor="text1" w:themeTint="BF"/>
            <w:sz w:val="16"/>
            <w:szCs w:val="16"/>
          </w:rPr>
          <w:t>Grant Funding Guidelines – Central Queensland Bushfires Flexible Funding Grants Round Three</w:t>
        </w:r>
      </w:sdtContent>
    </w:sdt>
  </w:p>
  <w:p w14:paraId="7E1A307E" w14:textId="77777777" w:rsidR="00F752DB" w:rsidRDefault="00F752DB">
    <w:pPr>
      <w:pStyle w:val="Header"/>
    </w:pP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D908" w14:textId="7AD9D080" w:rsidR="000140F8" w:rsidRDefault="0019382D" w:rsidP="005639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D3475E" wp14:editId="5163E2D1">
          <wp:simplePos x="0" y="0"/>
          <wp:positionH relativeFrom="page">
            <wp:align>left</wp:align>
          </wp:positionH>
          <wp:positionV relativeFrom="page">
            <wp:posOffset>14287</wp:posOffset>
          </wp:positionV>
          <wp:extent cx="7621925" cy="4924425"/>
          <wp:effectExtent l="0" t="0" r="0" b="0"/>
          <wp:wrapNone/>
          <wp:docPr id="151" name="Picture 1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328"/>
                  <a:stretch/>
                </pic:blipFill>
                <pic:spPr bwMode="auto">
                  <a:xfrm>
                    <a:off x="0" y="0"/>
                    <a:ext cx="7643263" cy="493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709"/>
    <w:multiLevelType w:val="hybridMultilevel"/>
    <w:tmpl w:val="0666CBF0"/>
    <w:lvl w:ilvl="0" w:tplc="551A3BD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436CC"/>
    <w:multiLevelType w:val="hybridMultilevel"/>
    <w:tmpl w:val="D5B8A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7091"/>
    <w:multiLevelType w:val="hybridMultilevel"/>
    <w:tmpl w:val="7020177A"/>
    <w:lvl w:ilvl="0" w:tplc="2DC434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E265A"/>
    <w:multiLevelType w:val="hybridMultilevel"/>
    <w:tmpl w:val="7844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23FE"/>
    <w:multiLevelType w:val="hybridMultilevel"/>
    <w:tmpl w:val="1A463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C0C83"/>
    <w:multiLevelType w:val="hybridMultilevel"/>
    <w:tmpl w:val="4C48E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80A0D"/>
    <w:multiLevelType w:val="hybridMultilevel"/>
    <w:tmpl w:val="667072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0E7"/>
    <w:multiLevelType w:val="hybridMultilevel"/>
    <w:tmpl w:val="D4C4E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04C0D"/>
    <w:multiLevelType w:val="hybridMultilevel"/>
    <w:tmpl w:val="8AAC6F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B57C1"/>
    <w:multiLevelType w:val="hybridMultilevel"/>
    <w:tmpl w:val="AB4AB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6C86"/>
    <w:multiLevelType w:val="hybridMultilevel"/>
    <w:tmpl w:val="5ED81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0232"/>
    <w:multiLevelType w:val="hybridMultilevel"/>
    <w:tmpl w:val="CA829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1B5E"/>
    <w:multiLevelType w:val="hybridMultilevel"/>
    <w:tmpl w:val="2D72C7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1CD"/>
    <w:multiLevelType w:val="hybridMultilevel"/>
    <w:tmpl w:val="1D1AE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14F2"/>
    <w:multiLevelType w:val="hybridMultilevel"/>
    <w:tmpl w:val="7646F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A5935"/>
    <w:multiLevelType w:val="hybridMultilevel"/>
    <w:tmpl w:val="0C206A8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3F5ADB"/>
    <w:multiLevelType w:val="hybridMultilevel"/>
    <w:tmpl w:val="83BEA8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000150"/>
    <w:multiLevelType w:val="hybridMultilevel"/>
    <w:tmpl w:val="05760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0A29"/>
    <w:multiLevelType w:val="hybridMultilevel"/>
    <w:tmpl w:val="A24E0596"/>
    <w:lvl w:ilvl="0" w:tplc="ADB0E1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ED6D8A"/>
    <w:multiLevelType w:val="multilevel"/>
    <w:tmpl w:val="D7626EF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5">
      <w:start w:val="1"/>
      <w:numFmt w:val="lowerLetter"/>
      <w:lvlText w:val="%6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80117A"/>
    <w:multiLevelType w:val="hybridMultilevel"/>
    <w:tmpl w:val="2B048A68"/>
    <w:lvl w:ilvl="0" w:tplc="8CF88D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BE7E96"/>
    <w:multiLevelType w:val="hybridMultilevel"/>
    <w:tmpl w:val="36629D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D7459"/>
    <w:multiLevelType w:val="hybridMultilevel"/>
    <w:tmpl w:val="7E283380"/>
    <w:lvl w:ilvl="0" w:tplc="49AE2C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7D38FE"/>
    <w:multiLevelType w:val="hybridMultilevel"/>
    <w:tmpl w:val="574C7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D0FCA"/>
    <w:multiLevelType w:val="hybridMultilevel"/>
    <w:tmpl w:val="C6FAE54E"/>
    <w:lvl w:ilvl="0" w:tplc="72DE4314">
      <w:start w:val="1"/>
      <w:numFmt w:val="decimal"/>
      <w:pStyle w:val="TOC3"/>
      <w:lvlText w:val="%1."/>
      <w:lvlJc w:val="left"/>
      <w:pPr>
        <w:ind w:left="1200" w:hanging="360"/>
      </w:pPr>
      <w:rPr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AD2235A"/>
    <w:multiLevelType w:val="hybridMultilevel"/>
    <w:tmpl w:val="566E310E"/>
    <w:lvl w:ilvl="0" w:tplc="8CE0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94A7F"/>
    <w:multiLevelType w:val="hybridMultilevel"/>
    <w:tmpl w:val="7CA8DB2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11616"/>
    <w:multiLevelType w:val="hybridMultilevel"/>
    <w:tmpl w:val="07BC3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6024"/>
    <w:multiLevelType w:val="hybridMultilevel"/>
    <w:tmpl w:val="3C0873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50F87"/>
    <w:multiLevelType w:val="hybridMultilevel"/>
    <w:tmpl w:val="E4566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37"/>
  </w:num>
  <w:num w:numId="5">
    <w:abstractNumId w:val="12"/>
  </w:num>
  <w:num w:numId="6">
    <w:abstractNumId w:val="13"/>
  </w:num>
  <w:num w:numId="7">
    <w:abstractNumId w:val="19"/>
  </w:num>
  <w:num w:numId="8">
    <w:abstractNumId w:val="24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7"/>
  </w:num>
  <w:num w:numId="14">
    <w:abstractNumId w:val="22"/>
  </w:num>
  <w:num w:numId="15">
    <w:abstractNumId w:val="4"/>
  </w:num>
  <w:num w:numId="16">
    <w:abstractNumId w:val="1"/>
  </w:num>
  <w:num w:numId="17">
    <w:abstractNumId w:val="34"/>
  </w:num>
  <w:num w:numId="18">
    <w:abstractNumId w:val="29"/>
  </w:num>
  <w:num w:numId="19">
    <w:abstractNumId w:val="0"/>
  </w:num>
  <w:num w:numId="20">
    <w:abstractNumId w:val="23"/>
  </w:num>
  <w:num w:numId="21">
    <w:abstractNumId w:val="2"/>
  </w:num>
  <w:num w:numId="22">
    <w:abstractNumId w:val="27"/>
  </w:num>
  <w:num w:numId="23">
    <w:abstractNumId w:val="21"/>
  </w:num>
  <w:num w:numId="24">
    <w:abstractNumId w:val="9"/>
  </w:num>
  <w:num w:numId="25">
    <w:abstractNumId w:val="28"/>
  </w:num>
  <w:num w:numId="26">
    <w:abstractNumId w:val="31"/>
  </w:num>
  <w:num w:numId="27">
    <w:abstractNumId w:val="3"/>
  </w:num>
  <w:num w:numId="28">
    <w:abstractNumId w:val="5"/>
  </w:num>
  <w:num w:numId="29">
    <w:abstractNumId w:val="36"/>
  </w:num>
  <w:num w:numId="30">
    <w:abstractNumId w:val="20"/>
  </w:num>
  <w:num w:numId="31">
    <w:abstractNumId w:val="15"/>
  </w:num>
  <w:num w:numId="32">
    <w:abstractNumId w:val="6"/>
  </w:num>
  <w:num w:numId="33">
    <w:abstractNumId w:val="17"/>
  </w:num>
  <w:num w:numId="34">
    <w:abstractNumId w:val="30"/>
  </w:num>
  <w:num w:numId="35">
    <w:abstractNumId w:val="8"/>
  </w:num>
  <w:num w:numId="36">
    <w:abstractNumId w:val="33"/>
  </w:num>
  <w:num w:numId="37">
    <w:abstractNumId w:val="32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115A"/>
    <w:rsid w:val="000140F8"/>
    <w:rsid w:val="00015496"/>
    <w:rsid w:val="00071234"/>
    <w:rsid w:val="000D6521"/>
    <w:rsid w:val="000F4BE1"/>
    <w:rsid w:val="00105D9D"/>
    <w:rsid w:val="00137DA0"/>
    <w:rsid w:val="00142FC9"/>
    <w:rsid w:val="00156C89"/>
    <w:rsid w:val="00172C66"/>
    <w:rsid w:val="00173AD5"/>
    <w:rsid w:val="001872A7"/>
    <w:rsid w:val="0019382D"/>
    <w:rsid w:val="00194E2C"/>
    <w:rsid w:val="001B5456"/>
    <w:rsid w:val="001D591D"/>
    <w:rsid w:val="001E4422"/>
    <w:rsid w:val="00207866"/>
    <w:rsid w:val="00211A7F"/>
    <w:rsid w:val="002151C1"/>
    <w:rsid w:val="002B1AB4"/>
    <w:rsid w:val="00332D79"/>
    <w:rsid w:val="00381F07"/>
    <w:rsid w:val="003A1CD0"/>
    <w:rsid w:val="00430856"/>
    <w:rsid w:val="00471734"/>
    <w:rsid w:val="004A0193"/>
    <w:rsid w:val="004A0CF6"/>
    <w:rsid w:val="005044DC"/>
    <w:rsid w:val="005122EC"/>
    <w:rsid w:val="00514250"/>
    <w:rsid w:val="00535E28"/>
    <w:rsid w:val="00563939"/>
    <w:rsid w:val="005A7EB2"/>
    <w:rsid w:val="006217E7"/>
    <w:rsid w:val="00625AEE"/>
    <w:rsid w:val="0063650D"/>
    <w:rsid w:val="00647E07"/>
    <w:rsid w:val="006701AD"/>
    <w:rsid w:val="00673C5E"/>
    <w:rsid w:val="006D3698"/>
    <w:rsid w:val="006F77F5"/>
    <w:rsid w:val="00701011"/>
    <w:rsid w:val="00704E5F"/>
    <w:rsid w:val="00717BED"/>
    <w:rsid w:val="007A6A8E"/>
    <w:rsid w:val="007A7AD0"/>
    <w:rsid w:val="007C42F0"/>
    <w:rsid w:val="007C70CE"/>
    <w:rsid w:val="007E123E"/>
    <w:rsid w:val="007E6504"/>
    <w:rsid w:val="00825FAA"/>
    <w:rsid w:val="0083349A"/>
    <w:rsid w:val="008402F0"/>
    <w:rsid w:val="00847102"/>
    <w:rsid w:val="008723CA"/>
    <w:rsid w:val="009908A1"/>
    <w:rsid w:val="0099647E"/>
    <w:rsid w:val="00A03BA7"/>
    <w:rsid w:val="00A40C60"/>
    <w:rsid w:val="00A55DF0"/>
    <w:rsid w:val="00AB0F2F"/>
    <w:rsid w:val="00AF090D"/>
    <w:rsid w:val="00B33273"/>
    <w:rsid w:val="00B57215"/>
    <w:rsid w:val="00B6211A"/>
    <w:rsid w:val="00BB7144"/>
    <w:rsid w:val="00BB7EA5"/>
    <w:rsid w:val="00C01006"/>
    <w:rsid w:val="00C1797D"/>
    <w:rsid w:val="00C54CF3"/>
    <w:rsid w:val="00C604D2"/>
    <w:rsid w:val="00D556FD"/>
    <w:rsid w:val="00D66294"/>
    <w:rsid w:val="00D7490B"/>
    <w:rsid w:val="00DE0FF1"/>
    <w:rsid w:val="00E04D66"/>
    <w:rsid w:val="00E31064"/>
    <w:rsid w:val="00E758E9"/>
    <w:rsid w:val="00EC540A"/>
    <w:rsid w:val="00EF4BC9"/>
    <w:rsid w:val="00F752DB"/>
    <w:rsid w:val="00F81DE9"/>
    <w:rsid w:val="00F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21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194E2C"/>
    <w:pPr>
      <w:spacing w:before="5440"/>
      <w:ind w:left="851"/>
      <w:jc w:val="right"/>
      <w:outlineLvl w:val="0"/>
    </w:pPr>
  </w:style>
  <w:style w:type="paragraph" w:styleId="Heading2">
    <w:name w:val="heading 2"/>
    <w:basedOn w:val="TOC3"/>
    <w:next w:val="Normal"/>
    <w:link w:val="Heading2Char"/>
    <w:uiPriority w:val="9"/>
    <w:unhideWhenUsed/>
    <w:qFormat/>
    <w:rsid w:val="00194E2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939"/>
    <w:pPr>
      <w:keepNext/>
      <w:keepLines/>
      <w:spacing w:before="120" w:after="120"/>
      <w:outlineLvl w:val="2"/>
    </w:pPr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63939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A7024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3939"/>
    <w:pPr>
      <w:keepNext/>
      <w:keepLines/>
      <w:spacing w:before="120" w:after="120"/>
      <w:outlineLvl w:val="4"/>
    </w:pPr>
    <w:rPr>
      <w:rFonts w:ascii="Arial Nova" w:eastAsiaTheme="majorEastAsia" w:hAnsi="Arial Nov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94E2C"/>
    <w:rPr>
      <w:rFonts w:ascii="Arial Nova Light" w:eastAsiaTheme="majorEastAsia" w:hAnsi="Arial Nova Light" w:cstheme="majorBidi"/>
      <w:color w:val="A7024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94E2C"/>
    <w:rPr>
      <w:rFonts w:ascii="Arial" w:eastAsia="Times New Roman" w:hAnsi="Arial" w:cs="Arial"/>
      <w:b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63939"/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3939"/>
    <w:rPr>
      <w:rFonts w:ascii="Arial Nova" w:eastAsiaTheme="majorEastAsia" w:hAnsi="Arial Nova" w:cstheme="majorBidi"/>
      <w:iCs/>
      <w:color w:val="A70240"/>
    </w:rPr>
  </w:style>
  <w:style w:type="character" w:customStyle="1" w:styleId="Heading5Char">
    <w:name w:val="Heading 5 Char"/>
    <w:basedOn w:val="DefaultParagraphFont"/>
    <w:link w:val="Heading5"/>
    <w:uiPriority w:val="9"/>
    <w:rsid w:val="00563939"/>
    <w:rPr>
      <w:rFonts w:ascii="Arial Nova" w:eastAsiaTheme="majorEastAsia" w:hAnsi="Arial Nov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63939"/>
    <w:pPr>
      <w:spacing w:after="0"/>
      <w:contextualSpacing/>
    </w:pPr>
    <w:rPr>
      <w:rFonts w:ascii="Arial Nova Light" w:eastAsiaTheme="majorEastAsia" w:hAnsi="Arial Nova Light" w:cstheme="majorBidi"/>
      <w:color w:val="A702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939"/>
    <w:rPr>
      <w:rFonts w:ascii="Arial Nova Light" w:eastAsiaTheme="majorEastAsia" w:hAnsi="Arial Nova Light" w:cstheme="majorBidi"/>
      <w:color w:val="A702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939"/>
    <w:pPr>
      <w:numPr>
        <w:ilvl w:val="1"/>
      </w:numPr>
      <w:spacing w:before="24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63939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939"/>
    <w:pPr>
      <w:pBdr>
        <w:top w:val="dotted" w:sz="8" w:space="10" w:color="7F7F7F" w:themeColor="text1" w:themeTint="80"/>
        <w:bottom w:val="dotted" w:sz="8" w:space="10" w:color="7F7F7F" w:themeColor="text1" w:themeTint="80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939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E6504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5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3BA7"/>
    <w:rPr>
      <w:color w:val="954F72" w:themeColor="followedHyperlink"/>
      <w:u w:val="single"/>
    </w:rPr>
  </w:style>
  <w:style w:type="paragraph" w:customStyle="1" w:styleId="Bulletpoint4">
    <w:name w:val="Bullet point 4"/>
    <w:basedOn w:val="Normal"/>
    <w:qFormat/>
    <w:rsid w:val="00C1797D"/>
    <w:pPr>
      <w:keepNext/>
      <w:tabs>
        <w:tab w:val="num" w:pos="1276"/>
      </w:tabs>
      <w:spacing w:before="60" w:after="60"/>
      <w:ind w:left="1276" w:hanging="425"/>
      <w:outlineLvl w:val="3"/>
    </w:pPr>
    <w:rPr>
      <w:rFonts w:eastAsia="Times New Roman" w:cs="Times New Roman"/>
      <w:bCs/>
      <w:color w:val="000000"/>
      <w:sz w:val="22"/>
      <w:szCs w:val="28"/>
      <w:lang w:eastAsia="en-AU"/>
    </w:rPr>
  </w:style>
  <w:style w:type="paragraph" w:customStyle="1" w:styleId="Bulletpoint1">
    <w:name w:val="Bullet point 1"/>
    <w:qFormat/>
    <w:rsid w:val="00C1797D"/>
    <w:pPr>
      <w:tabs>
        <w:tab w:val="num" w:pos="1276"/>
      </w:tabs>
      <w:spacing w:after="0" w:line="240" w:lineRule="auto"/>
      <w:ind w:left="1276" w:hanging="425"/>
    </w:pPr>
    <w:rPr>
      <w:rFonts w:ascii="Arial" w:eastAsia="Times New Roman" w:hAnsi="Arial" w:cs="Times New Roman"/>
      <w:bCs/>
      <w:color w:val="000000"/>
      <w:szCs w:val="28"/>
      <w:lang w:eastAsia="en-AU"/>
    </w:rPr>
  </w:style>
  <w:style w:type="paragraph" w:customStyle="1" w:styleId="Bulletpoint2">
    <w:name w:val="Bullet point 2"/>
    <w:qFormat/>
    <w:rsid w:val="00C1797D"/>
    <w:pPr>
      <w:tabs>
        <w:tab w:val="num" w:pos="1701"/>
      </w:tabs>
      <w:spacing w:after="0" w:line="240" w:lineRule="auto"/>
      <w:ind w:left="1701" w:hanging="425"/>
    </w:pPr>
    <w:rPr>
      <w:rFonts w:ascii="Arial" w:eastAsia="Times New Roman" w:hAnsi="Arial" w:cs="Times New Roman"/>
      <w:bCs/>
      <w:color w:val="000000"/>
      <w:szCs w:val="28"/>
      <w:lang w:eastAsia="en-AU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locked/>
    <w:rsid w:val="00C1797D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BB7144"/>
    <w:pPr>
      <w:numPr>
        <w:numId w:val="26"/>
      </w:numPr>
      <w:tabs>
        <w:tab w:val="left" w:pos="960"/>
        <w:tab w:val="right" w:leader="dot" w:pos="9628"/>
      </w:tabs>
      <w:spacing w:after="0"/>
      <w:ind w:right="282" w:hanging="1200"/>
    </w:pPr>
    <w:rPr>
      <w:rFonts w:eastAsia="Times New Roman" w:cs="Arial"/>
      <w:b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nowledge.aidr.org.au/resources/national-principles-disaster-recovery/" TargetMode="External"/><Relationship Id="rId18" Type="http://schemas.openxmlformats.org/officeDocument/2006/relationships/hyperlink" Target="https://smartygrants.com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grantqueries@communities.qld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nowledge.aidr.org.au/resources/national-strategy-for-disaster-resilience/" TargetMode="External"/><Relationship Id="rId17" Type="http://schemas.openxmlformats.org/officeDocument/2006/relationships/hyperlink" Target="https://www.disasterassist.gov.au/disaster-arrangements/disaster-recovery-funding-arrangement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inforce/current/act-2007-038" TargetMode="External"/><Relationship Id="rId20" Type="http://schemas.openxmlformats.org/officeDocument/2006/relationships/hyperlink" Target="https://www.qra.qld.gov.au/sites/default/files/2019-07/drfa_-_public_acknowledgements_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ra.qld.gov.au/recovery/recovery-operations/2018-central-queensland-bushfire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knowledge.aidr.org.au/resources/handbook-2-community-recovery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isasterassist.gov.au/disaster-arrangements/disaster-recovery-funding-arrange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ra.qld.gov.au/our-work-recovery/state-recovery-plans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BDEBBEC39346DC9D930D24F33D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BA43-2769-4163-86C6-FDF79682FD2D}"/>
      </w:docPartPr>
      <w:docPartBody>
        <w:p w:rsidR="00122C62" w:rsidRDefault="00F0531D" w:rsidP="00F0531D">
          <w:pPr>
            <w:pStyle w:val="D5BDEBBEC39346DC9D930D24F33D7B7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122C62"/>
    <w:rsid w:val="00197AF3"/>
    <w:rsid w:val="00F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BDEBBEC39346DC9D930D24F33D7B74">
    <w:name w:val="D5BDEBBEC39346DC9D930D24F33D7B74"/>
    <w:rsid w:val="00F05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2EC370876621B4B91B85C72C5404989005C266BC60F5B264097FD7F40D936B39F" ma:contentTypeVersion="19" ma:contentTypeDescription="" ma:contentTypeScope="" ma:versionID="5aa2e58b063b972ccef585317a5fadac">
  <xsd:schema xmlns:xsd="http://www.w3.org/2001/XMLSchema" xmlns:xs="http://www.w3.org/2001/XMLSchema" xmlns:p="http://schemas.microsoft.com/office/2006/metadata/properties" xmlns:ns2="6bb4696c-26de-4910-bde5-9e89110cd81e" xmlns:ns3="8db0ed6e-a8d1-41a8-8381-5e39c61d9a76" targetNamespace="http://schemas.microsoft.com/office/2006/metadata/properties" ma:root="true" ma:fieldsID="be37f012ecc548101242a04ea864e71e" ns2:_="" ns3:_="">
    <xsd:import namespace="6bb4696c-26de-4910-bde5-9e89110cd81e"/>
    <xsd:import namespace="8db0ed6e-a8d1-41a8-8381-5e39c61d9a76"/>
    <xsd:element name="properties">
      <xsd:complexType>
        <xsd:sequence>
          <xsd:element name="documentManagement">
            <xsd:complexType>
              <xsd:all>
                <xsd:element ref="ns2:RoutingRuleDescription"/>
                <xsd:element ref="ns3:Document_x0020_type" minOccurs="0"/>
                <xsd:element ref="ns3:Corporate_x0020_Function" minOccurs="0"/>
                <xsd:element ref="ns3:Business_x0020_Area" minOccurs="0"/>
                <xsd:element ref="ns2:ReportOwner" minOccurs="0"/>
                <xsd:element ref="ns3:Security" minOccurs="0"/>
                <xsd:element ref="ns3:Review_x0020_Date" minOccurs="0"/>
                <xsd:element ref="ns2:PublishingStartDate" minOccurs="0"/>
                <xsd:element ref="ns2:PublishingExpirationDate" minOccurs="0"/>
                <xsd:element ref="ns3:TaxCatchAllLabel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696c-26de-4910-bde5-9e89110cd81e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  <xsd:element name="ReportOwner" ma:index="7" nillable="true" ma:displayName="Owner" ma:description="Owner of this document" ma:list="UserInfo" ma:SearchPeopleOnly="false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partment" ma:index="27" nillable="true" ma:displayName="Department" ma:format="Dropdown" ma:internalName="Department">
      <xsd:simpleType>
        <xsd:restriction base="dms:Choice">
          <xsd:enumeration value="CHDE"/>
          <xsd:enumeration value="EPW"/>
          <xsd:enumeration value="HPW"/>
          <xsd:enumeration value="Bot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ed6e-a8d1-41a8-8381-5e39c61d9a7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list="{bdd362ff-2f16-47bd-a983-9e0210d9f24c}" ma:internalName="Document_x0020_type" ma:readOnly="false" ma:showField="Title" ma:web="8db0ed6e-a8d1-41a8-8381-5e39c61d9a76">
      <xsd:simpleType>
        <xsd:restriction base="dms:Lookup"/>
      </xsd:simpleType>
    </xsd:element>
    <xsd:element name="Corporate_x0020_Function" ma:index="5" nillable="true" ma:displayName="Corporate Function" ma:list="{4b598648-2d6a-499d-bcba-649ec1cd7ed1}" ma:internalName="Corporate_x0020_Function" ma:readOnly="false" ma:showField="Title" ma:web="8db0ed6e-a8d1-41a8-8381-5e39c61d9a76">
      <xsd:simpleType>
        <xsd:restriction base="dms:Lookup"/>
      </xsd:simpleType>
    </xsd:element>
    <xsd:element name="Business_x0020_Area" ma:index="6" nillable="true" ma:displayName="Business Area" ma:list="{f5d22bed-f116-4f30-9dfa-e62536509d6c}" ma:internalName="Business_x0020_Area" ma:readOnly="false" ma:showField="Title" ma:web="8db0ed6e-a8d1-41a8-8381-5e39c61d9a76">
      <xsd:simpleType>
        <xsd:restriction base="dms:Lookup"/>
      </xsd:simpleType>
    </xsd:element>
    <xsd:element name="Security" ma:index="8" nillable="true" ma:displayName="Security" ma:default="Unclassified" ma:format="Dropdown" ma:internalName="Security" ma:readOnly="false">
      <xsd:simpleType>
        <xsd:restriction base="dms:Choice">
          <xsd:enumeration value="Highly-protected"/>
          <xsd:enumeration value="In-Confidence"/>
          <xsd:enumeration value="Protected"/>
          <xsd:enumeration value="Public"/>
          <xsd:enumeration value="Unclassified"/>
          <xsd:enumeration value="In-confidence"/>
          <xsd:enumeration value="Highly protected"/>
        </xsd:restriction>
      </xsd:simpleType>
    </xsd:element>
    <xsd:element name="Review_x0020_Date" ma:index="9" nillable="true" ma:displayName="Review Date" ma:default="[today]" ma:format="DateOnly" ma:internalName="Review_x0020_Date" ma:readOnly="false">
      <xsd:simpleType>
        <xsd:restriction base="dms:DateTime"/>
      </xsd:simpleType>
    </xsd:element>
    <xsd:element name="TaxCatchAllLabel" ma:index="12" nillable="true" ma:displayName="Taxonomy Catch All Column1" ma:hidden="true" ma:list="{6dcd9a57-0776-41f7-993c-b2ac669199e9}" ma:internalName="TaxCatchAllLabel" ma:readOnly="true" ma:showField="CatchAllDataLabel" ma:web="8db0ed6e-a8d1-41a8-8381-5e39c61d9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readOnly="false" ma:fieldId="{23f27201-bee3-471e-b2e7-b64fd8b7ca38}" ma:taxonomyMulti="true" ma:sspId="16c13654-9e0b-40a7-be5f-9925f2f865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dcd9a57-0776-41f7-993c-b2ac669199e9}" ma:internalName="TaxCatchAll" ma:readOnly="false" ma:showField="CatchAllData" ma:web="8db0ed6e-a8d1-41a8-8381-5e39c61d9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db0ed6e-a8d1-41a8-8381-5e39c61d9a76">14</Document_x0020_type>
    <PublishingExpirationDate xmlns="6bb4696c-26de-4910-bde5-9e89110cd81e" xsi:nil="true"/>
    <ReportOwner xmlns="6bb4696c-26de-4910-bde5-9e89110cd81e">
      <UserInfo>
        <DisplayName/>
        <AccountId xsi:nil="true"/>
        <AccountType/>
      </UserInfo>
    </ReportOwner>
    <PublishingStartDate xmlns="6bb4696c-26de-4910-bde5-9e89110cd81e" xsi:nil="true"/>
    <TaxKeywordTaxHTField xmlns="8db0ed6e-a8d1-41a8-8381-5e39c61d9a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cover</TermName>
          <TermId xmlns="http://schemas.microsoft.com/office/infopath/2007/PartnerControls">a0e29c38-ede7-4d93-984f-904627b60d9f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4cae74c2-1c99-4c44-96e5-6902aebf4c10</TermId>
        </TermInfo>
        <TermInfo xmlns="http://schemas.microsoft.com/office/infopath/2007/PartnerControls">
          <TermName xmlns="http://schemas.microsoft.com/office/infopath/2007/PartnerControls">a4</TermName>
          <TermId xmlns="http://schemas.microsoft.com/office/infopath/2007/PartnerControls">28079928-679d-48a2-8883-835d1d514c3f</TermId>
        </TermInfo>
        <TermInfo xmlns="http://schemas.microsoft.com/office/infopath/2007/PartnerControls">
          <TermName xmlns="http://schemas.microsoft.com/office/infopath/2007/PartnerControls">portrait</TermName>
          <TermId xmlns="http://schemas.microsoft.com/office/infopath/2007/PartnerControls">c1018efc-2dc6-4702-9358-55e88104df21</TermId>
        </TermInfo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0560fe81-d13d-4d41-b61f-4823a1e8cbd2</TermId>
        </TermInfo>
      </Terms>
    </TaxKeywordTaxHTField>
    <Corporate_x0020_Function xmlns="8db0ed6e-a8d1-41a8-8381-5e39c61d9a76">1</Corporate_x0020_Function>
    <Business_x0020_Area xmlns="8db0ed6e-a8d1-41a8-8381-5e39c61d9a76" xsi:nil="true"/>
    <Security xmlns="8db0ed6e-a8d1-41a8-8381-5e39c61d9a76">Unclassified</Security>
    <Review_x0020_Date xmlns="8db0ed6e-a8d1-41a8-8381-5e39c61d9a76">2021-04-16T03:30:10+00:00</Review_x0020_Date>
    <RoutingRuleDescription xmlns="6bb4696c-26de-4910-bde5-9e89110cd81e">Document template—A4 portrait—branded cover—top</RoutingRuleDescription>
    <TaxCatchAll xmlns="8db0ed6e-a8d1-41a8-8381-5e39c61d9a76">
      <Value>116</Value>
      <Value>216</Value>
      <Value>316</Value>
      <Value>91</Value>
      <Value>106</Value>
    </TaxCatchAll>
    <Department xmlns="6bb4696c-26de-4910-bde5-9e89110cd81e">CHDE</Department>
  </documentManagement>
</p:properties>
</file>

<file path=customXml/itemProps1.xml><?xml version="1.0" encoding="utf-8"?>
<ds:datastoreItem xmlns:ds="http://schemas.openxmlformats.org/officeDocument/2006/customXml" ds:itemID="{D38930A1-030D-4E0F-9762-04210283A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0E8C1-F5B8-4197-A120-0A27C9D245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58EF6-365E-437E-A44E-C73AD8F9F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696c-26de-4910-bde5-9e89110cd81e"/>
    <ds:schemaRef ds:uri="8db0ed6e-a8d1-41a8-8381-5e39c61d9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FF584C-69D8-400D-B379-90CB8C4F4DCF}">
  <ds:schemaRefs>
    <ds:schemaRef ds:uri="http://schemas.microsoft.com/office/2006/metadata/properties"/>
    <ds:schemaRef ds:uri="http://schemas.microsoft.com/office/2006/documentManagement/types"/>
    <ds:schemaRef ds:uri="8db0ed6e-a8d1-41a8-8381-5e39c61d9a76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bb4696c-26de-4910-bde5-9e89110cd81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Funding Guidelines – Central Queensland Bushfires Flexible Funding Grants Round Three</vt:lpstr>
    </vt:vector>
  </TitlesOfParts>
  <Company>Queensland Government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Funding Guidelines – Central Queensland Bushfires Flexible Funding Grants Round Three</dc:title>
  <dc:subject>Funding and grants</dc:subject>
  <dc:creator>Department of Communities, Housing and Digital Economy</dc:creator>
  <cp:keywords>information paper, program guidelines, funding program, disasters, 2018 bushfires, community projects</cp:keywords>
  <dc:description/>
  <cp:lastModifiedBy>Trish Wilkin</cp:lastModifiedBy>
  <cp:revision>5</cp:revision>
  <cp:lastPrinted>2021-10-26T00:33:00Z</cp:lastPrinted>
  <dcterms:created xsi:type="dcterms:W3CDTF">2021-10-26T00:24:00Z</dcterms:created>
  <dcterms:modified xsi:type="dcterms:W3CDTF">2021-10-26T01:37:00Z</dcterms:modified>
  <cp:category>Community recovery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0x010100D2EC370876621B4B91B85C72C5404989005C266BC60F5B264097FD7F40D936B39F</vt:lpwstr>
  </property>
  <property fmtid="{D5CDD505-2E9C-101B-9397-08002B2CF9AE}" pid="3" name="TaxKeyword">
    <vt:lpwstr>216;#cover|a0e29c38-ede7-4d93-984f-904627b60d9f;#91;#Template|4cae74c2-1c99-4c44-96e5-6902aebf4c10;#116;#a4|28079928-679d-48a2-8883-835d1d514c3f;#106;#portrait|c1018efc-2dc6-4702-9358-55e88104df21;#316;#document|0560fe81-d13d-4d41-b61f-4823a1e8cbd2</vt:lpwstr>
  </property>
</Properties>
</file>