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F1A" w:rsidRDefault="00C96F1A" w:rsidP="00F84B09"/>
    <w:p w:rsidR="00C96F1A" w:rsidRDefault="00C96F1A" w:rsidP="00F84B09"/>
    <w:p w:rsidR="00C96F1A" w:rsidRDefault="00C96F1A" w:rsidP="00F84B09"/>
    <w:p w:rsidR="00C96F1A" w:rsidRDefault="00C96F1A" w:rsidP="00F84B09"/>
    <w:p w:rsidR="00C96F1A" w:rsidRDefault="00C96F1A" w:rsidP="00F84B09"/>
    <w:p w:rsidR="00F84B09" w:rsidRDefault="00F84B09" w:rsidP="00F84B09"/>
    <w:p w:rsidR="00F84B09" w:rsidRDefault="00F84B09" w:rsidP="00F84B09"/>
    <w:p w:rsidR="00F84B09" w:rsidRDefault="00F84B09" w:rsidP="00F84B09"/>
    <w:p w:rsidR="00C96F1A" w:rsidRDefault="00C96F1A" w:rsidP="00F84B09"/>
    <w:p w:rsidR="00C96F1A" w:rsidRDefault="00C96F1A" w:rsidP="00F84B09"/>
    <w:p w:rsidR="00C96F1A" w:rsidRDefault="00C96F1A" w:rsidP="00F84B09"/>
    <w:p w:rsidR="00C96F1A" w:rsidRDefault="00C96F1A" w:rsidP="00F84B09"/>
    <w:p w:rsidR="0028598A" w:rsidRPr="00C96F1A" w:rsidRDefault="00B625AF" w:rsidP="00744B55">
      <w:pPr>
        <w:pStyle w:val="Title"/>
        <w:outlineLvl w:val="9"/>
      </w:pPr>
      <w:r w:rsidRPr="00C96F1A">
        <w:t>Department of Housing and Public Works</w:t>
      </w:r>
    </w:p>
    <w:p w:rsidR="0028598A" w:rsidRPr="00C96F1A" w:rsidRDefault="0028598A" w:rsidP="009F44BE"/>
    <w:p w:rsidR="0028598A" w:rsidRDefault="001C54E2" w:rsidP="00744B55">
      <w:pPr>
        <w:pStyle w:val="Title"/>
        <w:outlineLvl w:val="9"/>
      </w:pPr>
      <w:r w:rsidRPr="00C96F1A">
        <w:t>Annual Report 2017–</w:t>
      </w:r>
      <w:r w:rsidR="00405909">
        <w:t>1</w:t>
      </w:r>
      <w:r w:rsidR="00470689">
        <w:t>8</w:t>
      </w:r>
      <w:bookmarkStart w:id="0" w:name="_GoBack"/>
      <w:bookmarkEnd w:id="0"/>
    </w:p>
    <w:p w:rsidR="004731E9" w:rsidRDefault="004731E9" w:rsidP="004731E9"/>
    <w:p w:rsidR="004731E9" w:rsidRDefault="004731E9" w:rsidP="004731E9"/>
    <w:p w:rsidR="004731E9" w:rsidRDefault="004731E9" w:rsidP="004731E9"/>
    <w:p w:rsidR="004731E9" w:rsidRDefault="004731E9" w:rsidP="004731E9"/>
    <w:p w:rsidR="004731E9" w:rsidRDefault="004731E9" w:rsidP="004731E9"/>
    <w:p w:rsidR="004731E9" w:rsidRDefault="004731E9" w:rsidP="004731E9"/>
    <w:p w:rsidR="004731E9" w:rsidRDefault="004731E9" w:rsidP="004731E9"/>
    <w:p w:rsidR="004731E9" w:rsidRDefault="004731E9" w:rsidP="004731E9"/>
    <w:p w:rsidR="004731E9" w:rsidRDefault="004731E9" w:rsidP="004731E9"/>
    <w:p w:rsidR="004731E9" w:rsidRDefault="004731E9" w:rsidP="004731E9"/>
    <w:p w:rsidR="004731E9" w:rsidRDefault="004731E9" w:rsidP="004731E9"/>
    <w:p w:rsidR="004731E9" w:rsidRDefault="004731E9" w:rsidP="004731E9"/>
    <w:p w:rsidR="004731E9" w:rsidRDefault="004731E9" w:rsidP="004731E9"/>
    <w:p w:rsidR="004731E9" w:rsidRDefault="004731E9" w:rsidP="004731E9"/>
    <w:p w:rsidR="004731E9" w:rsidRDefault="004731E9" w:rsidP="004731E9"/>
    <w:p w:rsidR="004731E9" w:rsidRDefault="004731E9" w:rsidP="004731E9"/>
    <w:p w:rsidR="004731E9" w:rsidRPr="004731E9" w:rsidRDefault="004731E9" w:rsidP="004731E9">
      <w:r>
        <w:t xml:space="preserve">IMAGE: QUEENSLAND GOVERNMENT </w:t>
      </w:r>
      <w:r w:rsidR="00331C96">
        <w:t>LOGO</w:t>
      </w:r>
    </w:p>
    <w:p w:rsidR="0028598A" w:rsidRPr="00C96F1A" w:rsidRDefault="0028598A" w:rsidP="00C96F1A">
      <w:pPr>
        <w:rPr>
          <w:rFonts w:ascii="Arial" w:hAnsi="Arial" w:cs="Arial"/>
        </w:rPr>
      </w:pPr>
    </w:p>
    <w:p w:rsidR="0028598A" w:rsidRPr="00C96F1A" w:rsidRDefault="0028598A" w:rsidP="00C96F1A">
      <w:pPr>
        <w:rPr>
          <w:rFonts w:ascii="Arial" w:hAnsi="Arial" w:cs="Arial"/>
        </w:rPr>
        <w:sectPr w:rsidR="0028598A" w:rsidRPr="00C96F1A" w:rsidSect="00C96F1A">
          <w:type w:val="continuous"/>
          <w:pgSz w:w="11910" w:h="16840"/>
          <w:pgMar w:top="1440" w:right="1080" w:bottom="1440" w:left="1080" w:header="720" w:footer="720" w:gutter="0"/>
          <w:cols w:space="720"/>
          <w:docGrid w:linePitch="299"/>
        </w:sectPr>
      </w:pPr>
    </w:p>
    <w:sdt>
      <w:sdtPr>
        <w:rPr>
          <w:rFonts w:asciiTheme="minorHAnsi" w:eastAsiaTheme="minorEastAsia" w:hAnsiTheme="minorHAnsi" w:cs="Times New Roman"/>
          <w:b w:val="0"/>
          <w:bCs w:val="0"/>
          <w:caps w:val="0"/>
          <w:kern w:val="0"/>
          <w:sz w:val="22"/>
          <w:szCs w:val="24"/>
        </w:rPr>
        <w:id w:val="228574538"/>
        <w:docPartObj>
          <w:docPartGallery w:val="Table of Contents"/>
          <w:docPartUnique/>
        </w:docPartObj>
      </w:sdtPr>
      <w:sdtEndPr>
        <w:rPr>
          <w:noProof/>
        </w:rPr>
      </w:sdtEndPr>
      <w:sdtContent>
        <w:p w:rsidR="00B431B6" w:rsidRDefault="00B431B6">
          <w:pPr>
            <w:pStyle w:val="TOCHeading"/>
          </w:pPr>
          <w:r>
            <w:t>Table of Contents</w:t>
          </w:r>
        </w:p>
        <w:p w:rsidR="00D31D02" w:rsidRDefault="00B431B6">
          <w:pPr>
            <w:pStyle w:val="TOC1"/>
            <w:tabs>
              <w:tab w:val="right" w:leader="dot" w:pos="9740"/>
            </w:tabs>
            <w:rPr>
              <w:rFonts w:cstheme="minorBidi"/>
              <w:b w:val="0"/>
              <w:bCs w:val="0"/>
              <w:noProof/>
              <w:sz w:val="22"/>
              <w:szCs w:val="22"/>
              <w:lang w:val="en-AU" w:eastAsia="en-AU"/>
            </w:rPr>
          </w:pPr>
          <w:r>
            <w:rPr>
              <w:rFonts w:asciiTheme="majorHAnsi" w:hAnsiTheme="majorHAnsi"/>
              <w:i/>
              <w:iCs/>
              <w:caps/>
              <w:sz w:val="24"/>
            </w:rPr>
            <w:fldChar w:fldCharType="begin"/>
          </w:r>
          <w:r>
            <w:rPr>
              <w:rFonts w:asciiTheme="majorHAnsi" w:hAnsiTheme="majorHAnsi"/>
              <w:i/>
              <w:iCs/>
              <w:caps/>
              <w:sz w:val="24"/>
            </w:rPr>
            <w:instrText xml:space="preserve"> TOC \o "1-2" \h \z \u </w:instrText>
          </w:r>
          <w:r>
            <w:rPr>
              <w:rFonts w:asciiTheme="majorHAnsi" w:hAnsiTheme="majorHAnsi"/>
              <w:i/>
              <w:iCs/>
              <w:caps/>
              <w:sz w:val="24"/>
            </w:rPr>
            <w:fldChar w:fldCharType="separate"/>
          </w:r>
          <w:hyperlink w:anchor="_Toc528845950" w:history="1">
            <w:r w:rsidR="00D31D02" w:rsidRPr="00E15118">
              <w:rPr>
                <w:rStyle w:val="Hyperlink"/>
                <w:noProof/>
              </w:rPr>
              <w:t>Letter of Compliance</w:t>
            </w:r>
            <w:r w:rsidR="00D31D02">
              <w:rPr>
                <w:noProof/>
                <w:webHidden/>
              </w:rPr>
              <w:tab/>
            </w:r>
            <w:r w:rsidR="00D31D02">
              <w:rPr>
                <w:noProof/>
                <w:webHidden/>
              </w:rPr>
              <w:fldChar w:fldCharType="begin"/>
            </w:r>
            <w:r w:rsidR="00D31D02">
              <w:rPr>
                <w:noProof/>
                <w:webHidden/>
              </w:rPr>
              <w:instrText xml:space="preserve"> PAGEREF _Toc528845950 \h </w:instrText>
            </w:r>
            <w:r w:rsidR="00D31D02">
              <w:rPr>
                <w:noProof/>
                <w:webHidden/>
              </w:rPr>
            </w:r>
            <w:r w:rsidR="00D31D02">
              <w:rPr>
                <w:noProof/>
                <w:webHidden/>
              </w:rPr>
              <w:fldChar w:fldCharType="separate"/>
            </w:r>
            <w:r w:rsidR="00791D73">
              <w:rPr>
                <w:noProof/>
                <w:webHidden/>
              </w:rPr>
              <w:t>3</w:t>
            </w:r>
            <w:r w:rsidR="00D31D02">
              <w:rPr>
                <w:noProof/>
                <w:webHidden/>
              </w:rPr>
              <w:fldChar w:fldCharType="end"/>
            </w:r>
          </w:hyperlink>
        </w:p>
        <w:p w:rsidR="00D31D02" w:rsidRDefault="00470689">
          <w:pPr>
            <w:pStyle w:val="TOC1"/>
            <w:tabs>
              <w:tab w:val="right" w:leader="dot" w:pos="9740"/>
            </w:tabs>
            <w:rPr>
              <w:rFonts w:cstheme="minorBidi"/>
              <w:b w:val="0"/>
              <w:bCs w:val="0"/>
              <w:noProof/>
              <w:sz w:val="22"/>
              <w:szCs w:val="22"/>
              <w:lang w:val="en-AU" w:eastAsia="en-AU"/>
            </w:rPr>
          </w:pPr>
          <w:hyperlink w:anchor="_Toc528845951" w:history="1">
            <w:r w:rsidR="00D31D02" w:rsidRPr="00E15118">
              <w:rPr>
                <w:rStyle w:val="Hyperlink"/>
                <w:noProof/>
              </w:rPr>
              <w:t>Communication objective</w:t>
            </w:r>
            <w:r w:rsidR="00D31D02">
              <w:rPr>
                <w:noProof/>
                <w:webHidden/>
              </w:rPr>
              <w:tab/>
            </w:r>
            <w:r w:rsidR="00D31D02">
              <w:rPr>
                <w:noProof/>
                <w:webHidden/>
              </w:rPr>
              <w:fldChar w:fldCharType="begin"/>
            </w:r>
            <w:r w:rsidR="00D31D02">
              <w:rPr>
                <w:noProof/>
                <w:webHidden/>
              </w:rPr>
              <w:instrText xml:space="preserve"> PAGEREF _Toc528845951 \h </w:instrText>
            </w:r>
            <w:r w:rsidR="00D31D02">
              <w:rPr>
                <w:noProof/>
                <w:webHidden/>
              </w:rPr>
            </w:r>
            <w:r w:rsidR="00D31D02">
              <w:rPr>
                <w:noProof/>
                <w:webHidden/>
              </w:rPr>
              <w:fldChar w:fldCharType="separate"/>
            </w:r>
            <w:r w:rsidR="00791D73">
              <w:rPr>
                <w:noProof/>
                <w:webHidden/>
              </w:rPr>
              <w:t>4</w:t>
            </w:r>
            <w:r w:rsidR="00D31D02">
              <w:rPr>
                <w:noProof/>
                <w:webHidden/>
              </w:rPr>
              <w:fldChar w:fldCharType="end"/>
            </w:r>
          </w:hyperlink>
        </w:p>
        <w:p w:rsidR="00D31D02" w:rsidRDefault="00470689">
          <w:pPr>
            <w:pStyle w:val="TOC1"/>
            <w:tabs>
              <w:tab w:val="right" w:leader="dot" w:pos="9740"/>
            </w:tabs>
            <w:rPr>
              <w:rFonts w:cstheme="minorBidi"/>
              <w:b w:val="0"/>
              <w:bCs w:val="0"/>
              <w:noProof/>
              <w:sz w:val="22"/>
              <w:szCs w:val="22"/>
              <w:lang w:val="en-AU" w:eastAsia="en-AU"/>
            </w:rPr>
          </w:pPr>
          <w:hyperlink w:anchor="_Toc528845952" w:history="1">
            <w:r w:rsidR="00D31D02" w:rsidRPr="00E15118">
              <w:rPr>
                <w:rStyle w:val="Hyperlink"/>
                <w:noProof/>
              </w:rPr>
              <w:t>Message from the Director–General</w:t>
            </w:r>
            <w:r w:rsidR="00D31D02">
              <w:rPr>
                <w:noProof/>
                <w:webHidden/>
              </w:rPr>
              <w:tab/>
            </w:r>
            <w:r w:rsidR="00D31D02">
              <w:rPr>
                <w:noProof/>
                <w:webHidden/>
              </w:rPr>
              <w:fldChar w:fldCharType="begin"/>
            </w:r>
            <w:r w:rsidR="00D31D02">
              <w:rPr>
                <w:noProof/>
                <w:webHidden/>
              </w:rPr>
              <w:instrText xml:space="preserve"> PAGEREF _Toc528845952 \h </w:instrText>
            </w:r>
            <w:r w:rsidR="00D31D02">
              <w:rPr>
                <w:noProof/>
                <w:webHidden/>
              </w:rPr>
            </w:r>
            <w:r w:rsidR="00D31D02">
              <w:rPr>
                <w:noProof/>
                <w:webHidden/>
              </w:rPr>
              <w:fldChar w:fldCharType="separate"/>
            </w:r>
            <w:r w:rsidR="00791D73">
              <w:rPr>
                <w:noProof/>
                <w:webHidden/>
              </w:rPr>
              <w:t>6</w:t>
            </w:r>
            <w:r w:rsidR="00D31D02">
              <w:rPr>
                <w:noProof/>
                <w:webHidden/>
              </w:rPr>
              <w:fldChar w:fldCharType="end"/>
            </w:r>
          </w:hyperlink>
        </w:p>
        <w:p w:rsidR="00D31D02" w:rsidRDefault="00470689">
          <w:pPr>
            <w:pStyle w:val="TOC1"/>
            <w:tabs>
              <w:tab w:val="right" w:leader="dot" w:pos="9740"/>
            </w:tabs>
            <w:rPr>
              <w:rFonts w:cstheme="minorBidi"/>
              <w:b w:val="0"/>
              <w:bCs w:val="0"/>
              <w:noProof/>
              <w:sz w:val="22"/>
              <w:szCs w:val="22"/>
              <w:lang w:val="en-AU" w:eastAsia="en-AU"/>
            </w:rPr>
          </w:pPr>
          <w:hyperlink w:anchor="_Toc528845953" w:history="1">
            <w:r w:rsidR="00D31D02" w:rsidRPr="00E15118">
              <w:rPr>
                <w:rStyle w:val="Hyperlink"/>
                <w:noProof/>
              </w:rPr>
              <w:t>Our department</w:t>
            </w:r>
            <w:r w:rsidR="00D31D02">
              <w:rPr>
                <w:noProof/>
                <w:webHidden/>
              </w:rPr>
              <w:tab/>
            </w:r>
            <w:r w:rsidR="00D31D02">
              <w:rPr>
                <w:noProof/>
                <w:webHidden/>
              </w:rPr>
              <w:fldChar w:fldCharType="begin"/>
            </w:r>
            <w:r w:rsidR="00D31D02">
              <w:rPr>
                <w:noProof/>
                <w:webHidden/>
              </w:rPr>
              <w:instrText xml:space="preserve"> PAGEREF _Toc528845953 \h </w:instrText>
            </w:r>
            <w:r w:rsidR="00D31D02">
              <w:rPr>
                <w:noProof/>
                <w:webHidden/>
              </w:rPr>
            </w:r>
            <w:r w:rsidR="00D31D02">
              <w:rPr>
                <w:noProof/>
                <w:webHidden/>
              </w:rPr>
              <w:fldChar w:fldCharType="separate"/>
            </w:r>
            <w:r w:rsidR="00791D73">
              <w:rPr>
                <w:noProof/>
                <w:webHidden/>
              </w:rPr>
              <w:t>8</w:t>
            </w:r>
            <w:r w:rsidR="00D31D02">
              <w:rPr>
                <w:noProof/>
                <w:webHidden/>
              </w:rPr>
              <w:fldChar w:fldCharType="end"/>
            </w:r>
          </w:hyperlink>
        </w:p>
        <w:p w:rsidR="00D31D02" w:rsidRDefault="00470689">
          <w:pPr>
            <w:pStyle w:val="TOC1"/>
            <w:tabs>
              <w:tab w:val="right" w:leader="dot" w:pos="9740"/>
            </w:tabs>
            <w:rPr>
              <w:rFonts w:cstheme="minorBidi"/>
              <w:b w:val="0"/>
              <w:bCs w:val="0"/>
              <w:noProof/>
              <w:sz w:val="22"/>
              <w:szCs w:val="22"/>
              <w:lang w:val="en-AU" w:eastAsia="en-AU"/>
            </w:rPr>
          </w:pPr>
          <w:hyperlink w:anchor="_Toc528845954" w:history="1">
            <w:r w:rsidR="00D31D02" w:rsidRPr="00E15118">
              <w:rPr>
                <w:rStyle w:val="Hyperlink"/>
                <w:noProof/>
              </w:rPr>
              <w:t>Organisational structure</w:t>
            </w:r>
            <w:r w:rsidR="00D31D02">
              <w:rPr>
                <w:noProof/>
                <w:webHidden/>
              </w:rPr>
              <w:tab/>
            </w:r>
            <w:r w:rsidR="00D31D02">
              <w:rPr>
                <w:noProof/>
                <w:webHidden/>
              </w:rPr>
              <w:fldChar w:fldCharType="begin"/>
            </w:r>
            <w:r w:rsidR="00D31D02">
              <w:rPr>
                <w:noProof/>
                <w:webHidden/>
              </w:rPr>
              <w:instrText xml:space="preserve"> PAGEREF _Toc528845954 \h </w:instrText>
            </w:r>
            <w:r w:rsidR="00D31D02">
              <w:rPr>
                <w:noProof/>
                <w:webHidden/>
              </w:rPr>
            </w:r>
            <w:r w:rsidR="00D31D02">
              <w:rPr>
                <w:noProof/>
                <w:webHidden/>
              </w:rPr>
              <w:fldChar w:fldCharType="separate"/>
            </w:r>
            <w:r w:rsidR="00791D73">
              <w:rPr>
                <w:noProof/>
                <w:webHidden/>
              </w:rPr>
              <w:t>13</w:t>
            </w:r>
            <w:r w:rsidR="00D31D02">
              <w:rPr>
                <w:noProof/>
                <w:webHidden/>
              </w:rPr>
              <w:fldChar w:fldCharType="end"/>
            </w:r>
          </w:hyperlink>
        </w:p>
        <w:p w:rsidR="00D31D02" w:rsidRDefault="00470689">
          <w:pPr>
            <w:pStyle w:val="TOC1"/>
            <w:tabs>
              <w:tab w:val="right" w:leader="dot" w:pos="9740"/>
            </w:tabs>
            <w:rPr>
              <w:rFonts w:cstheme="minorBidi"/>
              <w:b w:val="0"/>
              <w:bCs w:val="0"/>
              <w:noProof/>
              <w:sz w:val="22"/>
              <w:szCs w:val="22"/>
              <w:lang w:val="en-AU" w:eastAsia="en-AU"/>
            </w:rPr>
          </w:pPr>
          <w:hyperlink w:anchor="_Toc528845955" w:history="1">
            <w:r w:rsidR="00D31D02" w:rsidRPr="00E15118">
              <w:rPr>
                <w:rStyle w:val="Hyperlink"/>
                <w:noProof/>
              </w:rPr>
              <w:t>Our Organisational chart</w:t>
            </w:r>
            <w:r w:rsidR="00D31D02">
              <w:rPr>
                <w:noProof/>
                <w:webHidden/>
              </w:rPr>
              <w:tab/>
            </w:r>
            <w:r w:rsidR="00D31D02">
              <w:rPr>
                <w:noProof/>
                <w:webHidden/>
              </w:rPr>
              <w:fldChar w:fldCharType="begin"/>
            </w:r>
            <w:r w:rsidR="00D31D02">
              <w:rPr>
                <w:noProof/>
                <w:webHidden/>
              </w:rPr>
              <w:instrText xml:space="preserve"> PAGEREF _Toc528845955 \h </w:instrText>
            </w:r>
            <w:r w:rsidR="00D31D02">
              <w:rPr>
                <w:noProof/>
                <w:webHidden/>
              </w:rPr>
            </w:r>
            <w:r w:rsidR="00D31D02">
              <w:rPr>
                <w:noProof/>
                <w:webHidden/>
              </w:rPr>
              <w:fldChar w:fldCharType="separate"/>
            </w:r>
            <w:r w:rsidR="00791D73">
              <w:rPr>
                <w:noProof/>
                <w:webHidden/>
              </w:rPr>
              <w:t>14</w:t>
            </w:r>
            <w:r w:rsidR="00D31D02">
              <w:rPr>
                <w:noProof/>
                <w:webHidden/>
              </w:rPr>
              <w:fldChar w:fldCharType="end"/>
            </w:r>
          </w:hyperlink>
        </w:p>
        <w:p w:rsidR="00D31D02" w:rsidRDefault="00470689">
          <w:pPr>
            <w:pStyle w:val="TOC1"/>
            <w:tabs>
              <w:tab w:val="right" w:leader="dot" w:pos="9740"/>
            </w:tabs>
            <w:rPr>
              <w:rFonts w:cstheme="minorBidi"/>
              <w:b w:val="0"/>
              <w:bCs w:val="0"/>
              <w:noProof/>
              <w:sz w:val="22"/>
              <w:szCs w:val="22"/>
              <w:lang w:val="en-AU" w:eastAsia="en-AU"/>
            </w:rPr>
          </w:pPr>
          <w:hyperlink w:anchor="_Toc528845956" w:history="1">
            <w:r w:rsidR="00D31D02" w:rsidRPr="00E15118">
              <w:rPr>
                <w:rStyle w:val="Hyperlink"/>
                <w:noProof/>
              </w:rPr>
              <w:t>Our highlights</w:t>
            </w:r>
            <w:r w:rsidR="00D31D02">
              <w:rPr>
                <w:noProof/>
                <w:webHidden/>
              </w:rPr>
              <w:tab/>
            </w:r>
            <w:r w:rsidR="00D31D02">
              <w:rPr>
                <w:noProof/>
                <w:webHidden/>
              </w:rPr>
              <w:fldChar w:fldCharType="begin"/>
            </w:r>
            <w:r w:rsidR="00D31D02">
              <w:rPr>
                <w:noProof/>
                <w:webHidden/>
              </w:rPr>
              <w:instrText xml:space="preserve"> PAGEREF _Toc528845956 \h </w:instrText>
            </w:r>
            <w:r w:rsidR="00D31D02">
              <w:rPr>
                <w:noProof/>
                <w:webHidden/>
              </w:rPr>
            </w:r>
            <w:r w:rsidR="00D31D02">
              <w:rPr>
                <w:noProof/>
                <w:webHidden/>
              </w:rPr>
              <w:fldChar w:fldCharType="separate"/>
            </w:r>
            <w:r w:rsidR="00791D73">
              <w:rPr>
                <w:noProof/>
                <w:webHidden/>
              </w:rPr>
              <w:t>17</w:t>
            </w:r>
            <w:r w:rsidR="00D31D02">
              <w:rPr>
                <w:noProof/>
                <w:webHidden/>
              </w:rPr>
              <w:fldChar w:fldCharType="end"/>
            </w:r>
          </w:hyperlink>
        </w:p>
        <w:p w:rsidR="00D31D02" w:rsidRDefault="00470689">
          <w:pPr>
            <w:pStyle w:val="TOC1"/>
            <w:tabs>
              <w:tab w:val="right" w:leader="dot" w:pos="9740"/>
            </w:tabs>
            <w:rPr>
              <w:rFonts w:cstheme="minorBidi"/>
              <w:b w:val="0"/>
              <w:bCs w:val="0"/>
              <w:noProof/>
              <w:sz w:val="22"/>
              <w:szCs w:val="22"/>
              <w:lang w:val="en-AU" w:eastAsia="en-AU"/>
            </w:rPr>
          </w:pPr>
          <w:hyperlink w:anchor="_Toc528845957" w:history="1">
            <w:r w:rsidR="00D31D02" w:rsidRPr="00E15118">
              <w:rPr>
                <w:rStyle w:val="Hyperlink"/>
                <w:noProof/>
              </w:rPr>
              <w:t>Case Study</w:t>
            </w:r>
            <w:r w:rsidR="00D31D02">
              <w:rPr>
                <w:noProof/>
                <w:webHidden/>
              </w:rPr>
              <w:tab/>
            </w:r>
            <w:r w:rsidR="00D31D02">
              <w:rPr>
                <w:noProof/>
                <w:webHidden/>
              </w:rPr>
              <w:fldChar w:fldCharType="begin"/>
            </w:r>
            <w:r w:rsidR="00D31D02">
              <w:rPr>
                <w:noProof/>
                <w:webHidden/>
              </w:rPr>
              <w:instrText xml:space="preserve"> PAGEREF _Toc528845957 \h </w:instrText>
            </w:r>
            <w:r w:rsidR="00D31D02">
              <w:rPr>
                <w:noProof/>
                <w:webHidden/>
              </w:rPr>
            </w:r>
            <w:r w:rsidR="00D31D02">
              <w:rPr>
                <w:noProof/>
                <w:webHidden/>
              </w:rPr>
              <w:fldChar w:fldCharType="separate"/>
            </w:r>
            <w:r w:rsidR="00791D73">
              <w:rPr>
                <w:noProof/>
                <w:webHidden/>
              </w:rPr>
              <w:t>19</w:t>
            </w:r>
            <w:r w:rsidR="00D31D02">
              <w:rPr>
                <w:noProof/>
                <w:webHidden/>
              </w:rPr>
              <w:fldChar w:fldCharType="end"/>
            </w:r>
          </w:hyperlink>
        </w:p>
        <w:p w:rsidR="00D31D02" w:rsidRDefault="00470689">
          <w:pPr>
            <w:pStyle w:val="TOC1"/>
            <w:tabs>
              <w:tab w:val="right" w:leader="dot" w:pos="9740"/>
            </w:tabs>
            <w:rPr>
              <w:rFonts w:cstheme="minorBidi"/>
              <w:b w:val="0"/>
              <w:bCs w:val="0"/>
              <w:noProof/>
              <w:sz w:val="22"/>
              <w:szCs w:val="22"/>
              <w:lang w:val="en-AU" w:eastAsia="en-AU"/>
            </w:rPr>
          </w:pPr>
          <w:hyperlink w:anchor="_Toc528845958" w:history="1">
            <w:r w:rsidR="00D31D02" w:rsidRPr="00E15118">
              <w:rPr>
                <w:rStyle w:val="Hyperlink"/>
                <w:noProof/>
              </w:rPr>
              <w:t>Case Study</w:t>
            </w:r>
            <w:r w:rsidR="00D31D02">
              <w:rPr>
                <w:noProof/>
                <w:webHidden/>
              </w:rPr>
              <w:tab/>
            </w:r>
            <w:r w:rsidR="00D31D02">
              <w:rPr>
                <w:noProof/>
                <w:webHidden/>
              </w:rPr>
              <w:fldChar w:fldCharType="begin"/>
            </w:r>
            <w:r w:rsidR="00D31D02">
              <w:rPr>
                <w:noProof/>
                <w:webHidden/>
              </w:rPr>
              <w:instrText xml:space="preserve"> PAGEREF _Toc528845958 \h </w:instrText>
            </w:r>
            <w:r w:rsidR="00D31D02">
              <w:rPr>
                <w:noProof/>
                <w:webHidden/>
              </w:rPr>
            </w:r>
            <w:r w:rsidR="00D31D02">
              <w:rPr>
                <w:noProof/>
                <w:webHidden/>
              </w:rPr>
              <w:fldChar w:fldCharType="separate"/>
            </w:r>
            <w:r w:rsidR="00791D73">
              <w:rPr>
                <w:noProof/>
                <w:webHidden/>
              </w:rPr>
              <w:t>20</w:t>
            </w:r>
            <w:r w:rsidR="00D31D02">
              <w:rPr>
                <w:noProof/>
                <w:webHidden/>
              </w:rPr>
              <w:fldChar w:fldCharType="end"/>
            </w:r>
          </w:hyperlink>
        </w:p>
        <w:p w:rsidR="00D31D02" w:rsidRDefault="00470689">
          <w:pPr>
            <w:pStyle w:val="TOC1"/>
            <w:tabs>
              <w:tab w:val="right" w:leader="dot" w:pos="9740"/>
            </w:tabs>
            <w:rPr>
              <w:rFonts w:cstheme="minorBidi"/>
              <w:b w:val="0"/>
              <w:bCs w:val="0"/>
              <w:noProof/>
              <w:sz w:val="22"/>
              <w:szCs w:val="22"/>
              <w:lang w:val="en-AU" w:eastAsia="en-AU"/>
            </w:rPr>
          </w:pPr>
          <w:hyperlink w:anchor="_Toc528845959" w:history="1">
            <w:r w:rsidR="00D31D02" w:rsidRPr="00E15118">
              <w:rPr>
                <w:rStyle w:val="Hyperlink"/>
                <w:noProof/>
              </w:rPr>
              <w:t>Our service areas</w:t>
            </w:r>
            <w:r w:rsidR="00D31D02">
              <w:rPr>
                <w:noProof/>
                <w:webHidden/>
              </w:rPr>
              <w:tab/>
            </w:r>
            <w:r w:rsidR="00D31D02">
              <w:rPr>
                <w:noProof/>
                <w:webHidden/>
              </w:rPr>
              <w:fldChar w:fldCharType="begin"/>
            </w:r>
            <w:r w:rsidR="00D31D02">
              <w:rPr>
                <w:noProof/>
                <w:webHidden/>
              </w:rPr>
              <w:instrText xml:space="preserve"> PAGEREF _Toc528845959 \h </w:instrText>
            </w:r>
            <w:r w:rsidR="00D31D02">
              <w:rPr>
                <w:noProof/>
                <w:webHidden/>
              </w:rPr>
            </w:r>
            <w:r w:rsidR="00D31D02">
              <w:rPr>
                <w:noProof/>
                <w:webHidden/>
              </w:rPr>
              <w:fldChar w:fldCharType="separate"/>
            </w:r>
            <w:r w:rsidR="00791D73">
              <w:rPr>
                <w:noProof/>
                <w:webHidden/>
              </w:rPr>
              <w:t>21</w:t>
            </w:r>
            <w:r w:rsidR="00D31D02">
              <w:rPr>
                <w:noProof/>
                <w:webHidden/>
              </w:rPr>
              <w:fldChar w:fldCharType="end"/>
            </w:r>
          </w:hyperlink>
        </w:p>
        <w:p w:rsidR="00D31D02" w:rsidRDefault="00470689">
          <w:pPr>
            <w:pStyle w:val="TOC2"/>
            <w:tabs>
              <w:tab w:val="right" w:leader="dot" w:pos="9740"/>
            </w:tabs>
            <w:rPr>
              <w:rFonts w:cstheme="minorBidi"/>
              <w:i w:val="0"/>
              <w:iCs w:val="0"/>
              <w:noProof/>
              <w:sz w:val="22"/>
              <w:szCs w:val="22"/>
              <w:lang w:val="en-AU" w:eastAsia="en-AU"/>
            </w:rPr>
          </w:pPr>
          <w:hyperlink w:anchor="_Toc528845960" w:history="1">
            <w:r w:rsidR="00D31D02" w:rsidRPr="00E15118">
              <w:rPr>
                <w:rStyle w:val="Hyperlink"/>
                <w:noProof/>
              </w:rPr>
              <w:t>Housing and Homelessness Services</w:t>
            </w:r>
            <w:r w:rsidR="00D31D02">
              <w:rPr>
                <w:noProof/>
                <w:webHidden/>
              </w:rPr>
              <w:tab/>
            </w:r>
            <w:r w:rsidR="00D31D02">
              <w:rPr>
                <w:noProof/>
                <w:webHidden/>
              </w:rPr>
              <w:fldChar w:fldCharType="begin"/>
            </w:r>
            <w:r w:rsidR="00D31D02">
              <w:rPr>
                <w:noProof/>
                <w:webHidden/>
              </w:rPr>
              <w:instrText xml:space="preserve"> PAGEREF _Toc528845960 \h </w:instrText>
            </w:r>
            <w:r w:rsidR="00D31D02">
              <w:rPr>
                <w:noProof/>
                <w:webHidden/>
              </w:rPr>
            </w:r>
            <w:r w:rsidR="00D31D02">
              <w:rPr>
                <w:noProof/>
                <w:webHidden/>
              </w:rPr>
              <w:fldChar w:fldCharType="separate"/>
            </w:r>
            <w:r w:rsidR="00791D73">
              <w:rPr>
                <w:noProof/>
                <w:webHidden/>
              </w:rPr>
              <w:t>21</w:t>
            </w:r>
            <w:r w:rsidR="00D31D02">
              <w:rPr>
                <w:noProof/>
                <w:webHidden/>
              </w:rPr>
              <w:fldChar w:fldCharType="end"/>
            </w:r>
          </w:hyperlink>
        </w:p>
        <w:p w:rsidR="00D31D02" w:rsidRDefault="00470689">
          <w:pPr>
            <w:pStyle w:val="TOC2"/>
            <w:tabs>
              <w:tab w:val="right" w:leader="dot" w:pos="9740"/>
            </w:tabs>
            <w:rPr>
              <w:rFonts w:cstheme="minorBidi"/>
              <w:i w:val="0"/>
              <w:iCs w:val="0"/>
              <w:noProof/>
              <w:sz w:val="22"/>
              <w:szCs w:val="22"/>
              <w:lang w:val="en-AU" w:eastAsia="en-AU"/>
            </w:rPr>
          </w:pPr>
          <w:hyperlink w:anchor="_Toc528845961" w:history="1">
            <w:r w:rsidR="00D31D02" w:rsidRPr="00E15118">
              <w:rPr>
                <w:rStyle w:val="Hyperlink"/>
                <w:noProof/>
              </w:rPr>
              <w:t>Government Accommodation and Building Policy Services</w:t>
            </w:r>
            <w:r w:rsidR="00D31D02">
              <w:rPr>
                <w:noProof/>
                <w:webHidden/>
              </w:rPr>
              <w:tab/>
            </w:r>
            <w:r w:rsidR="00D31D02">
              <w:rPr>
                <w:noProof/>
                <w:webHidden/>
              </w:rPr>
              <w:fldChar w:fldCharType="begin"/>
            </w:r>
            <w:r w:rsidR="00D31D02">
              <w:rPr>
                <w:noProof/>
                <w:webHidden/>
              </w:rPr>
              <w:instrText xml:space="preserve"> PAGEREF _Toc528845961 \h </w:instrText>
            </w:r>
            <w:r w:rsidR="00D31D02">
              <w:rPr>
                <w:noProof/>
                <w:webHidden/>
              </w:rPr>
            </w:r>
            <w:r w:rsidR="00D31D02">
              <w:rPr>
                <w:noProof/>
                <w:webHidden/>
              </w:rPr>
              <w:fldChar w:fldCharType="separate"/>
            </w:r>
            <w:r w:rsidR="00791D73">
              <w:rPr>
                <w:noProof/>
                <w:webHidden/>
              </w:rPr>
              <w:t>31</w:t>
            </w:r>
            <w:r w:rsidR="00D31D02">
              <w:rPr>
                <w:noProof/>
                <w:webHidden/>
              </w:rPr>
              <w:fldChar w:fldCharType="end"/>
            </w:r>
          </w:hyperlink>
        </w:p>
        <w:p w:rsidR="00D31D02" w:rsidRDefault="00470689">
          <w:pPr>
            <w:pStyle w:val="TOC2"/>
            <w:tabs>
              <w:tab w:val="right" w:leader="dot" w:pos="9740"/>
            </w:tabs>
            <w:rPr>
              <w:rFonts w:cstheme="minorBidi"/>
              <w:i w:val="0"/>
              <w:iCs w:val="0"/>
              <w:noProof/>
              <w:sz w:val="22"/>
              <w:szCs w:val="22"/>
              <w:lang w:val="en-AU" w:eastAsia="en-AU"/>
            </w:rPr>
          </w:pPr>
          <w:hyperlink w:anchor="_Toc528845962" w:history="1">
            <w:r w:rsidR="00D31D02" w:rsidRPr="00E15118">
              <w:rPr>
                <w:rStyle w:val="Hyperlink"/>
                <w:noProof/>
              </w:rPr>
              <w:t>Procurement Services</w:t>
            </w:r>
            <w:r w:rsidR="00D31D02">
              <w:rPr>
                <w:noProof/>
                <w:webHidden/>
              </w:rPr>
              <w:tab/>
            </w:r>
            <w:r w:rsidR="00D31D02">
              <w:rPr>
                <w:noProof/>
                <w:webHidden/>
              </w:rPr>
              <w:fldChar w:fldCharType="begin"/>
            </w:r>
            <w:r w:rsidR="00D31D02">
              <w:rPr>
                <w:noProof/>
                <w:webHidden/>
              </w:rPr>
              <w:instrText xml:space="preserve"> PAGEREF _Toc528845962 \h </w:instrText>
            </w:r>
            <w:r w:rsidR="00D31D02">
              <w:rPr>
                <w:noProof/>
                <w:webHidden/>
              </w:rPr>
            </w:r>
            <w:r w:rsidR="00D31D02">
              <w:rPr>
                <w:noProof/>
                <w:webHidden/>
              </w:rPr>
              <w:fldChar w:fldCharType="separate"/>
            </w:r>
            <w:r w:rsidR="00791D73">
              <w:rPr>
                <w:noProof/>
                <w:webHidden/>
              </w:rPr>
              <w:t>37</w:t>
            </w:r>
            <w:r w:rsidR="00D31D02">
              <w:rPr>
                <w:noProof/>
                <w:webHidden/>
              </w:rPr>
              <w:fldChar w:fldCharType="end"/>
            </w:r>
          </w:hyperlink>
        </w:p>
        <w:p w:rsidR="00D31D02" w:rsidRDefault="00470689">
          <w:pPr>
            <w:pStyle w:val="TOC2"/>
            <w:tabs>
              <w:tab w:val="right" w:leader="dot" w:pos="9740"/>
            </w:tabs>
            <w:rPr>
              <w:rFonts w:cstheme="minorBidi"/>
              <w:i w:val="0"/>
              <w:iCs w:val="0"/>
              <w:noProof/>
              <w:sz w:val="22"/>
              <w:szCs w:val="22"/>
              <w:lang w:val="en-AU" w:eastAsia="en-AU"/>
            </w:rPr>
          </w:pPr>
          <w:hyperlink w:anchor="_Toc528845963" w:history="1">
            <w:r w:rsidR="00D31D02" w:rsidRPr="00E15118">
              <w:rPr>
                <w:rStyle w:val="Hyperlink"/>
                <w:noProof/>
              </w:rPr>
              <w:t>Sport and Recreation</w:t>
            </w:r>
            <w:r w:rsidR="00D31D02">
              <w:rPr>
                <w:noProof/>
                <w:webHidden/>
              </w:rPr>
              <w:tab/>
            </w:r>
            <w:r w:rsidR="00D31D02">
              <w:rPr>
                <w:noProof/>
                <w:webHidden/>
              </w:rPr>
              <w:fldChar w:fldCharType="begin"/>
            </w:r>
            <w:r w:rsidR="00D31D02">
              <w:rPr>
                <w:noProof/>
                <w:webHidden/>
              </w:rPr>
              <w:instrText xml:space="preserve"> PAGEREF _Toc528845963 \h </w:instrText>
            </w:r>
            <w:r w:rsidR="00D31D02">
              <w:rPr>
                <w:noProof/>
                <w:webHidden/>
              </w:rPr>
            </w:r>
            <w:r w:rsidR="00D31D02">
              <w:rPr>
                <w:noProof/>
                <w:webHidden/>
              </w:rPr>
              <w:fldChar w:fldCharType="separate"/>
            </w:r>
            <w:r w:rsidR="00791D73">
              <w:rPr>
                <w:noProof/>
                <w:webHidden/>
              </w:rPr>
              <w:t>40</w:t>
            </w:r>
            <w:r w:rsidR="00D31D02">
              <w:rPr>
                <w:noProof/>
                <w:webHidden/>
              </w:rPr>
              <w:fldChar w:fldCharType="end"/>
            </w:r>
          </w:hyperlink>
        </w:p>
        <w:p w:rsidR="00D31D02" w:rsidRDefault="00470689">
          <w:pPr>
            <w:pStyle w:val="TOC2"/>
            <w:tabs>
              <w:tab w:val="right" w:leader="dot" w:pos="9740"/>
            </w:tabs>
            <w:rPr>
              <w:rFonts w:cstheme="minorBidi"/>
              <w:i w:val="0"/>
              <w:iCs w:val="0"/>
              <w:noProof/>
              <w:sz w:val="22"/>
              <w:szCs w:val="22"/>
              <w:lang w:val="en-AU" w:eastAsia="en-AU"/>
            </w:rPr>
          </w:pPr>
          <w:hyperlink w:anchor="_Toc528845964" w:history="1">
            <w:r w:rsidR="00D31D02" w:rsidRPr="00E15118">
              <w:rPr>
                <w:rStyle w:val="Hyperlink"/>
                <w:noProof/>
              </w:rPr>
              <w:t>Digital Capability and Information</w:t>
            </w:r>
            <w:r w:rsidR="00D31D02">
              <w:rPr>
                <w:noProof/>
                <w:webHidden/>
              </w:rPr>
              <w:tab/>
            </w:r>
            <w:r w:rsidR="00D31D02">
              <w:rPr>
                <w:noProof/>
                <w:webHidden/>
              </w:rPr>
              <w:fldChar w:fldCharType="begin"/>
            </w:r>
            <w:r w:rsidR="00D31D02">
              <w:rPr>
                <w:noProof/>
                <w:webHidden/>
              </w:rPr>
              <w:instrText xml:space="preserve"> PAGEREF _Toc528845964 \h </w:instrText>
            </w:r>
            <w:r w:rsidR="00D31D02">
              <w:rPr>
                <w:noProof/>
                <w:webHidden/>
              </w:rPr>
            </w:r>
            <w:r w:rsidR="00D31D02">
              <w:rPr>
                <w:noProof/>
                <w:webHidden/>
              </w:rPr>
              <w:fldChar w:fldCharType="separate"/>
            </w:r>
            <w:r w:rsidR="00791D73">
              <w:rPr>
                <w:noProof/>
                <w:webHidden/>
              </w:rPr>
              <w:t>45</w:t>
            </w:r>
            <w:r w:rsidR="00D31D02">
              <w:rPr>
                <w:noProof/>
                <w:webHidden/>
              </w:rPr>
              <w:fldChar w:fldCharType="end"/>
            </w:r>
          </w:hyperlink>
        </w:p>
        <w:p w:rsidR="00D31D02" w:rsidRDefault="00470689">
          <w:pPr>
            <w:pStyle w:val="TOC2"/>
            <w:tabs>
              <w:tab w:val="right" w:leader="dot" w:pos="9740"/>
            </w:tabs>
            <w:rPr>
              <w:rFonts w:cstheme="minorBidi"/>
              <w:i w:val="0"/>
              <w:iCs w:val="0"/>
              <w:noProof/>
              <w:sz w:val="22"/>
              <w:szCs w:val="22"/>
              <w:lang w:val="en-AU" w:eastAsia="en-AU"/>
            </w:rPr>
          </w:pPr>
          <w:hyperlink w:anchor="_Toc528845965" w:history="1">
            <w:r w:rsidR="00D31D02" w:rsidRPr="00E15118">
              <w:rPr>
                <w:rStyle w:val="Hyperlink"/>
                <w:noProof/>
              </w:rPr>
              <w:t>Strategic Information and Communication Technology (including QGCIO)</w:t>
            </w:r>
            <w:r w:rsidR="00D31D02">
              <w:rPr>
                <w:noProof/>
                <w:webHidden/>
              </w:rPr>
              <w:tab/>
            </w:r>
            <w:r w:rsidR="00D31D02">
              <w:rPr>
                <w:noProof/>
                <w:webHidden/>
              </w:rPr>
              <w:fldChar w:fldCharType="begin"/>
            </w:r>
            <w:r w:rsidR="00D31D02">
              <w:rPr>
                <w:noProof/>
                <w:webHidden/>
              </w:rPr>
              <w:instrText xml:space="preserve"> PAGEREF _Toc528845965 \h </w:instrText>
            </w:r>
            <w:r w:rsidR="00D31D02">
              <w:rPr>
                <w:noProof/>
                <w:webHidden/>
              </w:rPr>
            </w:r>
            <w:r w:rsidR="00D31D02">
              <w:rPr>
                <w:noProof/>
                <w:webHidden/>
              </w:rPr>
              <w:fldChar w:fldCharType="separate"/>
            </w:r>
            <w:r w:rsidR="00791D73">
              <w:rPr>
                <w:noProof/>
                <w:webHidden/>
              </w:rPr>
              <w:t>50</w:t>
            </w:r>
            <w:r w:rsidR="00D31D02">
              <w:rPr>
                <w:noProof/>
                <w:webHidden/>
              </w:rPr>
              <w:fldChar w:fldCharType="end"/>
            </w:r>
          </w:hyperlink>
        </w:p>
        <w:p w:rsidR="00D31D02" w:rsidRDefault="00470689">
          <w:pPr>
            <w:pStyle w:val="TOC1"/>
            <w:tabs>
              <w:tab w:val="right" w:leader="dot" w:pos="9740"/>
            </w:tabs>
            <w:rPr>
              <w:rFonts w:cstheme="minorBidi"/>
              <w:b w:val="0"/>
              <w:bCs w:val="0"/>
              <w:noProof/>
              <w:sz w:val="22"/>
              <w:szCs w:val="22"/>
              <w:lang w:val="en-AU" w:eastAsia="en-AU"/>
            </w:rPr>
          </w:pPr>
          <w:hyperlink w:anchor="_Toc528845966" w:history="1">
            <w:r w:rsidR="00D31D02" w:rsidRPr="00E15118">
              <w:rPr>
                <w:rStyle w:val="Hyperlink"/>
                <w:noProof/>
              </w:rPr>
              <w:t>Case Study</w:t>
            </w:r>
            <w:r w:rsidR="00D31D02">
              <w:rPr>
                <w:noProof/>
                <w:webHidden/>
              </w:rPr>
              <w:tab/>
            </w:r>
            <w:r w:rsidR="00D31D02">
              <w:rPr>
                <w:noProof/>
                <w:webHidden/>
              </w:rPr>
              <w:fldChar w:fldCharType="begin"/>
            </w:r>
            <w:r w:rsidR="00D31D02">
              <w:rPr>
                <w:noProof/>
                <w:webHidden/>
              </w:rPr>
              <w:instrText xml:space="preserve"> PAGEREF _Toc528845966 \h </w:instrText>
            </w:r>
            <w:r w:rsidR="00D31D02">
              <w:rPr>
                <w:noProof/>
                <w:webHidden/>
              </w:rPr>
            </w:r>
            <w:r w:rsidR="00D31D02">
              <w:rPr>
                <w:noProof/>
                <w:webHidden/>
              </w:rPr>
              <w:fldChar w:fldCharType="separate"/>
            </w:r>
            <w:r w:rsidR="00791D73">
              <w:rPr>
                <w:noProof/>
                <w:webHidden/>
              </w:rPr>
              <w:t>52</w:t>
            </w:r>
            <w:r w:rsidR="00D31D02">
              <w:rPr>
                <w:noProof/>
                <w:webHidden/>
              </w:rPr>
              <w:fldChar w:fldCharType="end"/>
            </w:r>
          </w:hyperlink>
        </w:p>
        <w:p w:rsidR="00D31D02" w:rsidRDefault="00470689">
          <w:pPr>
            <w:pStyle w:val="TOC1"/>
            <w:tabs>
              <w:tab w:val="right" w:leader="dot" w:pos="9740"/>
            </w:tabs>
            <w:rPr>
              <w:rFonts w:cstheme="minorBidi"/>
              <w:b w:val="0"/>
              <w:bCs w:val="0"/>
              <w:noProof/>
              <w:sz w:val="22"/>
              <w:szCs w:val="22"/>
              <w:lang w:val="en-AU" w:eastAsia="en-AU"/>
            </w:rPr>
          </w:pPr>
          <w:hyperlink w:anchor="_Toc528845967" w:history="1">
            <w:r w:rsidR="00D31D02" w:rsidRPr="00E15118">
              <w:rPr>
                <w:rStyle w:val="Hyperlink"/>
                <w:noProof/>
              </w:rPr>
              <w:t>Our Commercialised Business Units</w:t>
            </w:r>
            <w:r w:rsidR="00D31D02">
              <w:rPr>
                <w:noProof/>
                <w:webHidden/>
              </w:rPr>
              <w:tab/>
            </w:r>
            <w:r w:rsidR="00D31D02">
              <w:rPr>
                <w:noProof/>
                <w:webHidden/>
              </w:rPr>
              <w:fldChar w:fldCharType="begin"/>
            </w:r>
            <w:r w:rsidR="00D31D02">
              <w:rPr>
                <w:noProof/>
                <w:webHidden/>
              </w:rPr>
              <w:instrText xml:space="preserve"> PAGEREF _Toc528845967 \h </w:instrText>
            </w:r>
            <w:r w:rsidR="00D31D02">
              <w:rPr>
                <w:noProof/>
                <w:webHidden/>
              </w:rPr>
            </w:r>
            <w:r w:rsidR="00D31D02">
              <w:rPr>
                <w:noProof/>
                <w:webHidden/>
              </w:rPr>
              <w:fldChar w:fldCharType="separate"/>
            </w:r>
            <w:r w:rsidR="00791D73">
              <w:rPr>
                <w:noProof/>
                <w:webHidden/>
              </w:rPr>
              <w:t>53</w:t>
            </w:r>
            <w:r w:rsidR="00D31D02">
              <w:rPr>
                <w:noProof/>
                <w:webHidden/>
              </w:rPr>
              <w:fldChar w:fldCharType="end"/>
            </w:r>
          </w:hyperlink>
        </w:p>
        <w:p w:rsidR="00D31D02" w:rsidRDefault="00470689">
          <w:pPr>
            <w:pStyle w:val="TOC2"/>
            <w:tabs>
              <w:tab w:val="right" w:leader="dot" w:pos="9740"/>
            </w:tabs>
            <w:rPr>
              <w:rFonts w:cstheme="minorBidi"/>
              <w:i w:val="0"/>
              <w:iCs w:val="0"/>
              <w:noProof/>
              <w:sz w:val="22"/>
              <w:szCs w:val="22"/>
              <w:lang w:val="en-AU" w:eastAsia="en-AU"/>
            </w:rPr>
          </w:pPr>
          <w:hyperlink w:anchor="_Toc528845968" w:history="1">
            <w:r w:rsidR="00D31D02" w:rsidRPr="00E15118">
              <w:rPr>
                <w:rStyle w:val="Hyperlink"/>
                <w:noProof/>
              </w:rPr>
              <w:t>Building and Asset Services</w:t>
            </w:r>
            <w:r w:rsidR="00D31D02">
              <w:rPr>
                <w:noProof/>
                <w:webHidden/>
              </w:rPr>
              <w:tab/>
            </w:r>
            <w:r w:rsidR="00D31D02">
              <w:rPr>
                <w:noProof/>
                <w:webHidden/>
              </w:rPr>
              <w:fldChar w:fldCharType="begin"/>
            </w:r>
            <w:r w:rsidR="00D31D02">
              <w:rPr>
                <w:noProof/>
                <w:webHidden/>
              </w:rPr>
              <w:instrText xml:space="preserve"> PAGEREF _Toc528845968 \h </w:instrText>
            </w:r>
            <w:r w:rsidR="00D31D02">
              <w:rPr>
                <w:noProof/>
                <w:webHidden/>
              </w:rPr>
            </w:r>
            <w:r w:rsidR="00D31D02">
              <w:rPr>
                <w:noProof/>
                <w:webHidden/>
              </w:rPr>
              <w:fldChar w:fldCharType="separate"/>
            </w:r>
            <w:r w:rsidR="00791D73">
              <w:rPr>
                <w:noProof/>
                <w:webHidden/>
              </w:rPr>
              <w:t>53</w:t>
            </w:r>
            <w:r w:rsidR="00D31D02">
              <w:rPr>
                <w:noProof/>
                <w:webHidden/>
              </w:rPr>
              <w:fldChar w:fldCharType="end"/>
            </w:r>
          </w:hyperlink>
        </w:p>
        <w:p w:rsidR="00D31D02" w:rsidRDefault="00470689">
          <w:pPr>
            <w:pStyle w:val="TOC2"/>
            <w:tabs>
              <w:tab w:val="right" w:leader="dot" w:pos="9740"/>
            </w:tabs>
            <w:rPr>
              <w:rFonts w:cstheme="minorBidi"/>
              <w:i w:val="0"/>
              <w:iCs w:val="0"/>
              <w:noProof/>
              <w:sz w:val="22"/>
              <w:szCs w:val="22"/>
              <w:lang w:val="en-AU" w:eastAsia="en-AU"/>
            </w:rPr>
          </w:pPr>
          <w:hyperlink w:anchor="_Toc528845969" w:history="1">
            <w:r w:rsidR="00D31D02" w:rsidRPr="00E15118">
              <w:rPr>
                <w:rStyle w:val="Hyperlink"/>
                <w:noProof/>
              </w:rPr>
              <w:t>CITEC</w:t>
            </w:r>
            <w:r w:rsidR="00D31D02">
              <w:rPr>
                <w:noProof/>
                <w:webHidden/>
              </w:rPr>
              <w:tab/>
            </w:r>
            <w:r w:rsidR="00D31D02">
              <w:rPr>
                <w:noProof/>
                <w:webHidden/>
              </w:rPr>
              <w:fldChar w:fldCharType="begin"/>
            </w:r>
            <w:r w:rsidR="00D31D02">
              <w:rPr>
                <w:noProof/>
                <w:webHidden/>
              </w:rPr>
              <w:instrText xml:space="preserve"> PAGEREF _Toc528845969 \h </w:instrText>
            </w:r>
            <w:r w:rsidR="00D31D02">
              <w:rPr>
                <w:noProof/>
                <w:webHidden/>
              </w:rPr>
            </w:r>
            <w:r w:rsidR="00D31D02">
              <w:rPr>
                <w:noProof/>
                <w:webHidden/>
              </w:rPr>
              <w:fldChar w:fldCharType="separate"/>
            </w:r>
            <w:r w:rsidR="00791D73">
              <w:rPr>
                <w:noProof/>
                <w:webHidden/>
              </w:rPr>
              <w:t>56</w:t>
            </w:r>
            <w:r w:rsidR="00D31D02">
              <w:rPr>
                <w:noProof/>
                <w:webHidden/>
              </w:rPr>
              <w:fldChar w:fldCharType="end"/>
            </w:r>
          </w:hyperlink>
        </w:p>
        <w:p w:rsidR="00D31D02" w:rsidRDefault="00470689">
          <w:pPr>
            <w:pStyle w:val="TOC2"/>
            <w:tabs>
              <w:tab w:val="right" w:leader="dot" w:pos="9740"/>
            </w:tabs>
            <w:rPr>
              <w:rFonts w:cstheme="minorBidi"/>
              <w:i w:val="0"/>
              <w:iCs w:val="0"/>
              <w:noProof/>
              <w:sz w:val="22"/>
              <w:szCs w:val="22"/>
              <w:lang w:val="en-AU" w:eastAsia="en-AU"/>
            </w:rPr>
          </w:pPr>
          <w:hyperlink w:anchor="_Toc528845970" w:history="1">
            <w:r w:rsidR="00D31D02" w:rsidRPr="00E15118">
              <w:rPr>
                <w:rStyle w:val="Hyperlink"/>
                <w:noProof/>
              </w:rPr>
              <w:t>QFleet</w:t>
            </w:r>
            <w:r w:rsidR="00D31D02">
              <w:rPr>
                <w:noProof/>
                <w:webHidden/>
              </w:rPr>
              <w:tab/>
            </w:r>
            <w:r w:rsidR="00D31D02">
              <w:rPr>
                <w:noProof/>
                <w:webHidden/>
              </w:rPr>
              <w:fldChar w:fldCharType="begin"/>
            </w:r>
            <w:r w:rsidR="00D31D02">
              <w:rPr>
                <w:noProof/>
                <w:webHidden/>
              </w:rPr>
              <w:instrText xml:space="preserve"> PAGEREF _Toc528845970 \h </w:instrText>
            </w:r>
            <w:r w:rsidR="00D31D02">
              <w:rPr>
                <w:noProof/>
                <w:webHidden/>
              </w:rPr>
            </w:r>
            <w:r w:rsidR="00D31D02">
              <w:rPr>
                <w:noProof/>
                <w:webHidden/>
              </w:rPr>
              <w:fldChar w:fldCharType="separate"/>
            </w:r>
            <w:r w:rsidR="00791D73">
              <w:rPr>
                <w:noProof/>
                <w:webHidden/>
              </w:rPr>
              <w:t>59</w:t>
            </w:r>
            <w:r w:rsidR="00D31D02">
              <w:rPr>
                <w:noProof/>
                <w:webHidden/>
              </w:rPr>
              <w:fldChar w:fldCharType="end"/>
            </w:r>
          </w:hyperlink>
        </w:p>
        <w:p w:rsidR="00D31D02" w:rsidRDefault="00470689">
          <w:pPr>
            <w:pStyle w:val="TOC2"/>
            <w:tabs>
              <w:tab w:val="right" w:leader="dot" w:pos="9740"/>
            </w:tabs>
            <w:rPr>
              <w:rFonts w:cstheme="minorBidi"/>
              <w:i w:val="0"/>
              <w:iCs w:val="0"/>
              <w:noProof/>
              <w:sz w:val="22"/>
              <w:szCs w:val="22"/>
              <w:lang w:val="en-AU" w:eastAsia="en-AU"/>
            </w:rPr>
          </w:pPr>
          <w:hyperlink w:anchor="_Toc528845971" w:history="1">
            <w:r w:rsidR="00D31D02" w:rsidRPr="00E15118">
              <w:rPr>
                <w:rStyle w:val="Hyperlink"/>
                <w:noProof/>
              </w:rPr>
              <w:t>Queensland Shared Services</w:t>
            </w:r>
            <w:r w:rsidR="00D31D02">
              <w:rPr>
                <w:noProof/>
                <w:webHidden/>
              </w:rPr>
              <w:tab/>
            </w:r>
            <w:r w:rsidR="00D31D02">
              <w:rPr>
                <w:noProof/>
                <w:webHidden/>
              </w:rPr>
              <w:fldChar w:fldCharType="begin"/>
            </w:r>
            <w:r w:rsidR="00D31D02">
              <w:rPr>
                <w:noProof/>
                <w:webHidden/>
              </w:rPr>
              <w:instrText xml:space="preserve"> PAGEREF _Toc528845971 \h </w:instrText>
            </w:r>
            <w:r w:rsidR="00D31D02">
              <w:rPr>
                <w:noProof/>
                <w:webHidden/>
              </w:rPr>
            </w:r>
            <w:r w:rsidR="00D31D02">
              <w:rPr>
                <w:noProof/>
                <w:webHidden/>
              </w:rPr>
              <w:fldChar w:fldCharType="separate"/>
            </w:r>
            <w:r w:rsidR="00791D73">
              <w:rPr>
                <w:noProof/>
                <w:webHidden/>
              </w:rPr>
              <w:t>61</w:t>
            </w:r>
            <w:r w:rsidR="00D31D02">
              <w:rPr>
                <w:noProof/>
                <w:webHidden/>
              </w:rPr>
              <w:fldChar w:fldCharType="end"/>
            </w:r>
          </w:hyperlink>
        </w:p>
        <w:p w:rsidR="00D31D02" w:rsidRDefault="00470689">
          <w:pPr>
            <w:pStyle w:val="TOC1"/>
            <w:tabs>
              <w:tab w:val="right" w:leader="dot" w:pos="9740"/>
            </w:tabs>
            <w:rPr>
              <w:rFonts w:cstheme="minorBidi"/>
              <w:b w:val="0"/>
              <w:bCs w:val="0"/>
              <w:noProof/>
              <w:sz w:val="22"/>
              <w:szCs w:val="22"/>
              <w:lang w:val="en-AU" w:eastAsia="en-AU"/>
            </w:rPr>
          </w:pPr>
          <w:hyperlink w:anchor="_Toc528845972" w:history="1">
            <w:r w:rsidR="00D31D02" w:rsidRPr="00E15118">
              <w:rPr>
                <w:rStyle w:val="Hyperlink"/>
                <w:noProof/>
              </w:rPr>
              <w:t>Our People</w:t>
            </w:r>
            <w:r w:rsidR="00D31D02">
              <w:rPr>
                <w:noProof/>
                <w:webHidden/>
              </w:rPr>
              <w:tab/>
            </w:r>
            <w:r w:rsidR="00D31D02">
              <w:rPr>
                <w:noProof/>
                <w:webHidden/>
              </w:rPr>
              <w:fldChar w:fldCharType="begin"/>
            </w:r>
            <w:r w:rsidR="00D31D02">
              <w:rPr>
                <w:noProof/>
                <w:webHidden/>
              </w:rPr>
              <w:instrText xml:space="preserve"> PAGEREF _Toc528845972 \h </w:instrText>
            </w:r>
            <w:r w:rsidR="00D31D02">
              <w:rPr>
                <w:noProof/>
                <w:webHidden/>
              </w:rPr>
            </w:r>
            <w:r w:rsidR="00D31D02">
              <w:rPr>
                <w:noProof/>
                <w:webHidden/>
              </w:rPr>
              <w:fldChar w:fldCharType="separate"/>
            </w:r>
            <w:r w:rsidR="00791D73">
              <w:rPr>
                <w:noProof/>
                <w:webHidden/>
              </w:rPr>
              <w:t>63</w:t>
            </w:r>
            <w:r w:rsidR="00D31D02">
              <w:rPr>
                <w:noProof/>
                <w:webHidden/>
              </w:rPr>
              <w:fldChar w:fldCharType="end"/>
            </w:r>
          </w:hyperlink>
        </w:p>
        <w:p w:rsidR="00D31D02" w:rsidRDefault="00470689">
          <w:pPr>
            <w:pStyle w:val="TOC2"/>
            <w:tabs>
              <w:tab w:val="right" w:leader="dot" w:pos="9740"/>
            </w:tabs>
            <w:rPr>
              <w:rFonts w:cstheme="minorBidi"/>
              <w:i w:val="0"/>
              <w:iCs w:val="0"/>
              <w:noProof/>
              <w:sz w:val="22"/>
              <w:szCs w:val="22"/>
              <w:lang w:val="en-AU" w:eastAsia="en-AU"/>
            </w:rPr>
          </w:pPr>
          <w:hyperlink w:anchor="_Toc528845973" w:history="1">
            <w:r w:rsidR="00D31D02" w:rsidRPr="00E15118">
              <w:rPr>
                <w:rStyle w:val="Hyperlink"/>
                <w:noProof/>
              </w:rPr>
              <w:t>Strategic workforce planning</w:t>
            </w:r>
            <w:r w:rsidR="00D31D02">
              <w:rPr>
                <w:noProof/>
                <w:webHidden/>
              </w:rPr>
              <w:tab/>
            </w:r>
            <w:r w:rsidR="00D31D02">
              <w:rPr>
                <w:noProof/>
                <w:webHidden/>
              </w:rPr>
              <w:fldChar w:fldCharType="begin"/>
            </w:r>
            <w:r w:rsidR="00D31D02">
              <w:rPr>
                <w:noProof/>
                <w:webHidden/>
              </w:rPr>
              <w:instrText xml:space="preserve"> PAGEREF _Toc528845973 \h </w:instrText>
            </w:r>
            <w:r w:rsidR="00D31D02">
              <w:rPr>
                <w:noProof/>
                <w:webHidden/>
              </w:rPr>
            </w:r>
            <w:r w:rsidR="00D31D02">
              <w:rPr>
                <w:noProof/>
                <w:webHidden/>
              </w:rPr>
              <w:fldChar w:fldCharType="separate"/>
            </w:r>
            <w:r w:rsidR="00791D73">
              <w:rPr>
                <w:noProof/>
                <w:webHidden/>
              </w:rPr>
              <w:t>65</w:t>
            </w:r>
            <w:r w:rsidR="00D31D02">
              <w:rPr>
                <w:noProof/>
                <w:webHidden/>
              </w:rPr>
              <w:fldChar w:fldCharType="end"/>
            </w:r>
          </w:hyperlink>
        </w:p>
        <w:p w:rsidR="00D31D02" w:rsidRDefault="00470689">
          <w:pPr>
            <w:pStyle w:val="TOC1"/>
            <w:tabs>
              <w:tab w:val="right" w:leader="dot" w:pos="9740"/>
            </w:tabs>
            <w:rPr>
              <w:rFonts w:cstheme="minorBidi"/>
              <w:b w:val="0"/>
              <w:bCs w:val="0"/>
              <w:noProof/>
              <w:sz w:val="22"/>
              <w:szCs w:val="22"/>
              <w:lang w:val="en-AU" w:eastAsia="en-AU"/>
            </w:rPr>
          </w:pPr>
          <w:hyperlink w:anchor="_Toc528845974" w:history="1">
            <w:r w:rsidR="00D31D02" w:rsidRPr="00E15118">
              <w:rPr>
                <w:rStyle w:val="Hyperlink"/>
                <w:noProof/>
              </w:rPr>
              <w:t>Case Study</w:t>
            </w:r>
            <w:r w:rsidR="00D31D02">
              <w:rPr>
                <w:noProof/>
                <w:webHidden/>
              </w:rPr>
              <w:tab/>
            </w:r>
            <w:r w:rsidR="00D31D02">
              <w:rPr>
                <w:noProof/>
                <w:webHidden/>
              </w:rPr>
              <w:fldChar w:fldCharType="begin"/>
            </w:r>
            <w:r w:rsidR="00D31D02">
              <w:rPr>
                <w:noProof/>
                <w:webHidden/>
              </w:rPr>
              <w:instrText xml:space="preserve"> PAGEREF _Toc528845974 \h </w:instrText>
            </w:r>
            <w:r w:rsidR="00D31D02">
              <w:rPr>
                <w:noProof/>
                <w:webHidden/>
              </w:rPr>
            </w:r>
            <w:r w:rsidR="00D31D02">
              <w:rPr>
                <w:noProof/>
                <w:webHidden/>
              </w:rPr>
              <w:fldChar w:fldCharType="separate"/>
            </w:r>
            <w:r w:rsidR="00791D73">
              <w:rPr>
                <w:noProof/>
                <w:webHidden/>
              </w:rPr>
              <w:t>70</w:t>
            </w:r>
            <w:r w:rsidR="00D31D02">
              <w:rPr>
                <w:noProof/>
                <w:webHidden/>
              </w:rPr>
              <w:fldChar w:fldCharType="end"/>
            </w:r>
          </w:hyperlink>
        </w:p>
        <w:p w:rsidR="00D31D02" w:rsidRDefault="00470689">
          <w:pPr>
            <w:pStyle w:val="TOC1"/>
            <w:tabs>
              <w:tab w:val="right" w:leader="dot" w:pos="9740"/>
            </w:tabs>
            <w:rPr>
              <w:rFonts w:cstheme="minorBidi"/>
              <w:b w:val="0"/>
              <w:bCs w:val="0"/>
              <w:noProof/>
              <w:sz w:val="22"/>
              <w:szCs w:val="22"/>
              <w:lang w:val="en-AU" w:eastAsia="en-AU"/>
            </w:rPr>
          </w:pPr>
          <w:hyperlink w:anchor="_Toc528845975" w:history="1">
            <w:r w:rsidR="00D31D02" w:rsidRPr="00E15118">
              <w:rPr>
                <w:rStyle w:val="Hyperlink"/>
                <w:noProof/>
              </w:rPr>
              <w:t>Case Study</w:t>
            </w:r>
            <w:r w:rsidR="00D31D02">
              <w:rPr>
                <w:noProof/>
                <w:webHidden/>
              </w:rPr>
              <w:tab/>
            </w:r>
            <w:r w:rsidR="00D31D02">
              <w:rPr>
                <w:noProof/>
                <w:webHidden/>
              </w:rPr>
              <w:fldChar w:fldCharType="begin"/>
            </w:r>
            <w:r w:rsidR="00D31D02">
              <w:rPr>
                <w:noProof/>
                <w:webHidden/>
              </w:rPr>
              <w:instrText xml:space="preserve"> PAGEREF _Toc528845975 \h </w:instrText>
            </w:r>
            <w:r w:rsidR="00D31D02">
              <w:rPr>
                <w:noProof/>
                <w:webHidden/>
              </w:rPr>
            </w:r>
            <w:r w:rsidR="00D31D02">
              <w:rPr>
                <w:noProof/>
                <w:webHidden/>
              </w:rPr>
              <w:fldChar w:fldCharType="separate"/>
            </w:r>
            <w:r w:rsidR="00791D73">
              <w:rPr>
                <w:noProof/>
                <w:webHidden/>
              </w:rPr>
              <w:t>71</w:t>
            </w:r>
            <w:r w:rsidR="00D31D02">
              <w:rPr>
                <w:noProof/>
                <w:webHidden/>
              </w:rPr>
              <w:fldChar w:fldCharType="end"/>
            </w:r>
          </w:hyperlink>
        </w:p>
        <w:p w:rsidR="00D31D02" w:rsidRDefault="00470689">
          <w:pPr>
            <w:pStyle w:val="TOC1"/>
            <w:tabs>
              <w:tab w:val="right" w:leader="dot" w:pos="9740"/>
            </w:tabs>
            <w:rPr>
              <w:rFonts w:cstheme="minorBidi"/>
              <w:b w:val="0"/>
              <w:bCs w:val="0"/>
              <w:noProof/>
              <w:sz w:val="22"/>
              <w:szCs w:val="22"/>
              <w:lang w:val="en-AU" w:eastAsia="en-AU"/>
            </w:rPr>
          </w:pPr>
          <w:hyperlink w:anchor="_Toc528845976" w:history="1">
            <w:r w:rsidR="00D31D02" w:rsidRPr="00E15118">
              <w:rPr>
                <w:rStyle w:val="Hyperlink"/>
                <w:noProof/>
              </w:rPr>
              <w:t>Case Study</w:t>
            </w:r>
            <w:r w:rsidR="00D31D02">
              <w:rPr>
                <w:noProof/>
                <w:webHidden/>
              </w:rPr>
              <w:tab/>
            </w:r>
            <w:r w:rsidR="00D31D02">
              <w:rPr>
                <w:noProof/>
                <w:webHidden/>
              </w:rPr>
              <w:fldChar w:fldCharType="begin"/>
            </w:r>
            <w:r w:rsidR="00D31D02">
              <w:rPr>
                <w:noProof/>
                <w:webHidden/>
              </w:rPr>
              <w:instrText xml:space="preserve"> PAGEREF _Toc528845976 \h </w:instrText>
            </w:r>
            <w:r w:rsidR="00D31D02">
              <w:rPr>
                <w:noProof/>
                <w:webHidden/>
              </w:rPr>
            </w:r>
            <w:r w:rsidR="00D31D02">
              <w:rPr>
                <w:noProof/>
                <w:webHidden/>
              </w:rPr>
              <w:fldChar w:fldCharType="separate"/>
            </w:r>
            <w:r w:rsidR="00791D73">
              <w:rPr>
                <w:noProof/>
                <w:webHidden/>
              </w:rPr>
              <w:t>71</w:t>
            </w:r>
            <w:r w:rsidR="00D31D02">
              <w:rPr>
                <w:noProof/>
                <w:webHidden/>
              </w:rPr>
              <w:fldChar w:fldCharType="end"/>
            </w:r>
          </w:hyperlink>
        </w:p>
        <w:p w:rsidR="00D31D02" w:rsidRDefault="00470689">
          <w:pPr>
            <w:pStyle w:val="TOC1"/>
            <w:tabs>
              <w:tab w:val="right" w:leader="dot" w:pos="9740"/>
            </w:tabs>
            <w:rPr>
              <w:rFonts w:cstheme="minorBidi"/>
              <w:b w:val="0"/>
              <w:bCs w:val="0"/>
              <w:noProof/>
              <w:sz w:val="22"/>
              <w:szCs w:val="22"/>
              <w:lang w:val="en-AU" w:eastAsia="en-AU"/>
            </w:rPr>
          </w:pPr>
          <w:hyperlink w:anchor="_Toc528845977" w:history="1">
            <w:r w:rsidR="00D31D02" w:rsidRPr="00E15118">
              <w:rPr>
                <w:rStyle w:val="Hyperlink"/>
                <w:noProof/>
              </w:rPr>
              <w:t>Case Study</w:t>
            </w:r>
            <w:r w:rsidR="00D31D02">
              <w:rPr>
                <w:noProof/>
                <w:webHidden/>
              </w:rPr>
              <w:tab/>
            </w:r>
            <w:r w:rsidR="00D31D02">
              <w:rPr>
                <w:noProof/>
                <w:webHidden/>
              </w:rPr>
              <w:fldChar w:fldCharType="begin"/>
            </w:r>
            <w:r w:rsidR="00D31D02">
              <w:rPr>
                <w:noProof/>
                <w:webHidden/>
              </w:rPr>
              <w:instrText xml:space="preserve"> PAGEREF _Toc528845977 \h </w:instrText>
            </w:r>
            <w:r w:rsidR="00D31D02">
              <w:rPr>
                <w:noProof/>
                <w:webHidden/>
              </w:rPr>
            </w:r>
            <w:r w:rsidR="00D31D02">
              <w:rPr>
                <w:noProof/>
                <w:webHidden/>
              </w:rPr>
              <w:fldChar w:fldCharType="separate"/>
            </w:r>
            <w:r w:rsidR="00791D73">
              <w:rPr>
                <w:noProof/>
                <w:webHidden/>
              </w:rPr>
              <w:t>72</w:t>
            </w:r>
            <w:r w:rsidR="00D31D02">
              <w:rPr>
                <w:noProof/>
                <w:webHidden/>
              </w:rPr>
              <w:fldChar w:fldCharType="end"/>
            </w:r>
          </w:hyperlink>
        </w:p>
        <w:p w:rsidR="00D31D02" w:rsidRDefault="00470689">
          <w:pPr>
            <w:pStyle w:val="TOC1"/>
            <w:tabs>
              <w:tab w:val="right" w:leader="dot" w:pos="9740"/>
            </w:tabs>
            <w:rPr>
              <w:rFonts w:cstheme="minorBidi"/>
              <w:b w:val="0"/>
              <w:bCs w:val="0"/>
              <w:noProof/>
              <w:sz w:val="22"/>
              <w:szCs w:val="22"/>
              <w:lang w:val="en-AU" w:eastAsia="en-AU"/>
            </w:rPr>
          </w:pPr>
          <w:hyperlink w:anchor="_Toc528845978" w:history="1">
            <w:r w:rsidR="00D31D02" w:rsidRPr="00E15118">
              <w:rPr>
                <w:rStyle w:val="Hyperlink"/>
                <w:noProof/>
              </w:rPr>
              <w:t>Governance</w:t>
            </w:r>
            <w:r w:rsidR="00D31D02">
              <w:rPr>
                <w:noProof/>
                <w:webHidden/>
              </w:rPr>
              <w:tab/>
            </w:r>
            <w:r w:rsidR="00D31D02">
              <w:rPr>
                <w:noProof/>
                <w:webHidden/>
              </w:rPr>
              <w:fldChar w:fldCharType="begin"/>
            </w:r>
            <w:r w:rsidR="00D31D02">
              <w:rPr>
                <w:noProof/>
                <w:webHidden/>
              </w:rPr>
              <w:instrText xml:space="preserve"> PAGEREF _Toc528845978 \h </w:instrText>
            </w:r>
            <w:r w:rsidR="00D31D02">
              <w:rPr>
                <w:noProof/>
                <w:webHidden/>
              </w:rPr>
            </w:r>
            <w:r w:rsidR="00D31D02">
              <w:rPr>
                <w:noProof/>
                <w:webHidden/>
              </w:rPr>
              <w:fldChar w:fldCharType="separate"/>
            </w:r>
            <w:r w:rsidR="00791D73">
              <w:rPr>
                <w:noProof/>
                <w:webHidden/>
              </w:rPr>
              <w:t>73</w:t>
            </w:r>
            <w:r w:rsidR="00D31D02">
              <w:rPr>
                <w:noProof/>
                <w:webHidden/>
              </w:rPr>
              <w:fldChar w:fldCharType="end"/>
            </w:r>
          </w:hyperlink>
        </w:p>
        <w:p w:rsidR="00D31D02" w:rsidRDefault="00470689">
          <w:pPr>
            <w:pStyle w:val="TOC1"/>
            <w:tabs>
              <w:tab w:val="right" w:leader="dot" w:pos="9740"/>
            </w:tabs>
            <w:rPr>
              <w:rFonts w:cstheme="minorBidi"/>
              <w:b w:val="0"/>
              <w:bCs w:val="0"/>
              <w:noProof/>
              <w:sz w:val="22"/>
              <w:szCs w:val="22"/>
              <w:lang w:val="en-AU" w:eastAsia="en-AU"/>
            </w:rPr>
          </w:pPr>
          <w:hyperlink w:anchor="_Toc528845979" w:history="1">
            <w:r w:rsidR="00D31D02" w:rsidRPr="00E15118">
              <w:rPr>
                <w:rStyle w:val="Hyperlink"/>
                <w:noProof/>
              </w:rPr>
              <w:t>Legislation administered by the Minister for Housing and Public Works, Minister for Digital Technology and Minister for Sport as at 30 June 2018</w:t>
            </w:r>
            <w:r w:rsidR="00D31D02">
              <w:rPr>
                <w:noProof/>
                <w:webHidden/>
              </w:rPr>
              <w:tab/>
            </w:r>
            <w:r w:rsidR="00D31D02">
              <w:rPr>
                <w:noProof/>
                <w:webHidden/>
              </w:rPr>
              <w:fldChar w:fldCharType="begin"/>
            </w:r>
            <w:r w:rsidR="00D31D02">
              <w:rPr>
                <w:noProof/>
                <w:webHidden/>
              </w:rPr>
              <w:instrText xml:space="preserve"> PAGEREF _Toc528845979 \h </w:instrText>
            </w:r>
            <w:r w:rsidR="00D31D02">
              <w:rPr>
                <w:noProof/>
                <w:webHidden/>
              </w:rPr>
            </w:r>
            <w:r w:rsidR="00D31D02">
              <w:rPr>
                <w:noProof/>
                <w:webHidden/>
              </w:rPr>
              <w:fldChar w:fldCharType="separate"/>
            </w:r>
            <w:r w:rsidR="00791D73">
              <w:rPr>
                <w:noProof/>
                <w:webHidden/>
              </w:rPr>
              <w:t>89</w:t>
            </w:r>
            <w:r w:rsidR="00D31D02">
              <w:rPr>
                <w:noProof/>
                <w:webHidden/>
              </w:rPr>
              <w:fldChar w:fldCharType="end"/>
            </w:r>
          </w:hyperlink>
        </w:p>
        <w:p w:rsidR="00D31D02" w:rsidRDefault="00470689">
          <w:pPr>
            <w:pStyle w:val="TOC1"/>
            <w:tabs>
              <w:tab w:val="right" w:leader="dot" w:pos="9740"/>
            </w:tabs>
            <w:rPr>
              <w:rFonts w:cstheme="minorBidi"/>
              <w:b w:val="0"/>
              <w:bCs w:val="0"/>
              <w:noProof/>
              <w:sz w:val="22"/>
              <w:szCs w:val="22"/>
              <w:lang w:val="en-AU" w:eastAsia="en-AU"/>
            </w:rPr>
          </w:pPr>
          <w:hyperlink w:anchor="_Toc528845980" w:history="1">
            <w:r w:rsidR="00D31D02" w:rsidRPr="00E15118">
              <w:rPr>
                <w:rStyle w:val="Hyperlink"/>
                <w:noProof/>
              </w:rPr>
              <w:t>Government bodies, boards and committees</w:t>
            </w:r>
            <w:r w:rsidR="00D31D02">
              <w:rPr>
                <w:noProof/>
                <w:webHidden/>
              </w:rPr>
              <w:tab/>
            </w:r>
            <w:r w:rsidR="00D31D02">
              <w:rPr>
                <w:noProof/>
                <w:webHidden/>
              </w:rPr>
              <w:fldChar w:fldCharType="begin"/>
            </w:r>
            <w:r w:rsidR="00D31D02">
              <w:rPr>
                <w:noProof/>
                <w:webHidden/>
              </w:rPr>
              <w:instrText xml:space="preserve"> PAGEREF _Toc528845980 \h </w:instrText>
            </w:r>
            <w:r w:rsidR="00D31D02">
              <w:rPr>
                <w:noProof/>
                <w:webHidden/>
              </w:rPr>
            </w:r>
            <w:r w:rsidR="00D31D02">
              <w:rPr>
                <w:noProof/>
                <w:webHidden/>
              </w:rPr>
              <w:fldChar w:fldCharType="separate"/>
            </w:r>
            <w:r w:rsidR="00791D73">
              <w:rPr>
                <w:noProof/>
                <w:webHidden/>
              </w:rPr>
              <w:t>91</w:t>
            </w:r>
            <w:r w:rsidR="00D31D02">
              <w:rPr>
                <w:noProof/>
                <w:webHidden/>
              </w:rPr>
              <w:fldChar w:fldCharType="end"/>
            </w:r>
          </w:hyperlink>
        </w:p>
        <w:p w:rsidR="00D31D02" w:rsidRDefault="00470689">
          <w:pPr>
            <w:pStyle w:val="TOC1"/>
            <w:tabs>
              <w:tab w:val="right" w:leader="dot" w:pos="9740"/>
            </w:tabs>
            <w:rPr>
              <w:rFonts w:cstheme="minorBidi"/>
              <w:b w:val="0"/>
              <w:bCs w:val="0"/>
              <w:noProof/>
              <w:sz w:val="22"/>
              <w:szCs w:val="22"/>
              <w:lang w:val="en-AU" w:eastAsia="en-AU"/>
            </w:rPr>
          </w:pPr>
          <w:hyperlink w:anchor="_Toc528845981" w:history="1">
            <w:r w:rsidR="00D31D02" w:rsidRPr="00E15118">
              <w:rPr>
                <w:rStyle w:val="Hyperlink"/>
                <w:noProof/>
              </w:rPr>
              <w:t>Our Locations</w:t>
            </w:r>
            <w:r w:rsidR="00D31D02">
              <w:rPr>
                <w:noProof/>
                <w:webHidden/>
              </w:rPr>
              <w:tab/>
            </w:r>
            <w:r w:rsidR="00D31D02">
              <w:rPr>
                <w:noProof/>
                <w:webHidden/>
              </w:rPr>
              <w:fldChar w:fldCharType="begin"/>
            </w:r>
            <w:r w:rsidR="00D31D02">
              <w:rPr>
                <w:noProof/>
                <w:webHidden/>
              </w:rPr>
              <w:instrText xml:space="preserve"> PAGEREF _Toc528845981 \h </w:instrText>
            </w:r>
            <w:r w:rsidR="00D31D02">
              <w:rPr>
                <w:noProof/>
                <w:webHidden/>
              </w:rPr>
            </w:r>
            <w:r w:rsidR="00D31D02">
              <w:rPr>
                <w:noProof/>
                <w:webHidden/>
              </w:rPr>
              <w:fldChar w:fldCharType="separate"/>
            </w:r>
            <w:r w:rsidR="00791D73">
              <w:rPr>
                <w:noProof/>
                <w:webHidden/>
              </w:rPr>
              <w:t>92</w:t>
            </w:r>
            <w:r w:rsidR="00D31D02">
              <w:rPr>
                <w:noProof/>
                <w:webHidden/>
              </w:rPr>
              <w:fldChar w:fldCharType="end"/>
            </w:r>
          </w:hyperlink>
        </w:p>
        <w:p w:rsidR="00D31D02" w:rsidRDefault="00470689">
          <w:pPr>
            <w:pStyle w:val="TOC1"/>
            <w:tabs>
              <w:tab w:val="right" w:leader="dot" w:pos="9740"/>
            </w:tabs>
            <w:rPr>
              <w:rFonts w:cstheme="minorBidi"/>
              <w:b w:val="0"/>
              <w:bCs w:val="0"/>
              <w:noProof/>
              <w:sz w:val="22"/>
              <w:szCs w:val="22"/>
              <w:lang w:val="en-AU" w:eastAsia="en-AU"/>
            </w:rPr>
          </w:pPr>
          <w:hyperlink w:anchor="_Toc528845982" w:history="1">
            <w:r w:rsidR="00D31D02" w:rsidRPr="00E15118">
              <w:rPr>
                <w:rStyle w:val="Hyperlink"/>
                <w:noProof/>
              </w:rPr>
              <w:t>Glossary of Terms</w:t>
            </w:r>
            <w:r w:rsidR="00D31D02">
              <w:rPr>
                <w:noProof/>
                <w:webHidden/>
              </w:rPr>
              <w:tab/>
            </w:r>
            <w:r w:rsidR="00D31D02">
              <w:rPr>
                <w:noProof/>
                <w:webHidden/>
              </w:rPr>
              <w:fldChar w:fldCharType="begin"/>
            </w:r>
            <w:r w:rsidR="00D31D02">
              <w:rPr>
                <w:noProof/>
                <w:webHidden/>
              </w:rPr>
              <w:instrText xml:space="preserve"> PAGEREF _Toc528845982 \h </w:instrText>
            </w:r>
            <w:r w:rsidR="00D31D02">
              <w:rPr>
                <w:noProof/>
                <w:webHidden/>
              </w:rPr>
            </w:r>
            <w:r w:rsidR="00D31D02">
              <w:rPr>
                <w:noProof/>
                <w:webHidden/>
              </w:rPr>
              <w:fldChar w:fldCharType="separate"/>
            </w:r>
            <w:r w:rsidR="00791D73">
              <w:rPr>
                <w:noProof/>
                <w:webHidden/>
              </w:rPr>
              <w:t>101</w:t>
            </w:r>
            <w:r w:rsidR="00D31D02">
              <w:rPr>
                <w:noProof/>
                <w:webHidden/>
              </w:rPr>
              <w:fldChar w:fldCharType="end"/>
            </w:r>
          </w:hyperlink>
        </w:p>
        <w:p w:rsidR="00D31D02" w:rsidRDefault="00470689">
          <w:pPr>
            <w:pStyle w:val="TOC1"/>
            <w:tabs>
              <w:tab w:val="right" w:leader="dot" w:pos="9740"/>
            </w:tabs>
            <w:rPr>
              <w:rFonts w:cstheme="minorBidi"/>
              <w:b w:val="0"/>
              <w:bCs w:val="0"/>
              <w:noProof/>
              <w:sz w:val="22"/>
              <w:szCs w:val="22"/>
              <w:lang w:val="en-AU" w:eastAsia="en-AU"/>
            </w:rPr>
          </w:pPr>
          <w:hyperlink w:anchor="_Toc528845983" w:history="1">
            <w:r w:rsidR="00D31D02" w:rsidRPr="00E15118">
              <w:rPr>
                <w:rStyle w:val="Hyperlink"/>
                <w:noProof/>
              </w:rPr>
              <w:t>Compliance Checklist</w:t>
            </w:r>
            <w:r w:rsidR="00D31D02">
              <w:rPr>
                <w:noProof/>
                <w:webHidden/>
              </w:rPr>
              <w:tab/>
            </w:r>
            <w:r w:rsidR="00D31D02">
              <w:rPr>
                <w:noProof/>
                <w:webHidden/>
              </w:rPr>
              <w:fldChar w:fldCharType="begin"/>
            </w:r>
            <w:r w:rsidR="00D31D02">
              <w:rPr>
                <w:noProof/>
                <w:webHidden/>
              </w:rPr>
              <w:instrText xml:space="preserve"> PAGEREF _Toc528845983 \h </w:instrText>
            </w:r>
            <w:r w:rsidR="00D31D02">
              <w:rPr>
                <w:noProof/>
                <w:webHidden/>
              </w:rPr>
            </w:r>
            <w:r w:rsidR="00D31D02">
              <w:rPr>
                <w:noProof/>
                <w:webHidden/>
              </w:rPr>
              <w:fldChar w:fldCharType="separate"/>
            </w:r>
            <w:r w:rsidR="00791D73">
              <w:rPr>
                <w:noProof/>
                <w:webHidden/>
              </w:rPr>
              <w:t>102</w:t>
            </w:r>
            <w:r w:rsidR="00D31D02">
              <w:rPr>
                <w:noProof/>
                <w:webHidden/>
              </w:rPr>
              <w:fldChar w:fldCharType="end"/>
            </w:r>
          </w:hyperlink>
        </w:p>
        <w:p w:rsidR="00B431B6" w:rsidRDefault="00B431B6" w:rsidP="009F44BE">
          <w:r>
            <w:rPr>
              <w:rFonts w:asciiTheme="majorHAnsi" w:hAnsiTheme="majorHAnsi" w:cstheme="minorHAnsi"/>
              <w:i/>
              <w:iCs/>
              <w:caps/>
              <w:sz w:val="24"/>
              <w:szCs w:val="20"/>
            </w:rPr>
            <w:fldChar w:fldCharType="end"/>
          </w:r>
        </w:p>
      </w:sdtContent>
    </w:sdt>
    <w:p w:rsidR="006411C5" w:rsidRDefault="006411C5" w:rsidP="00C96F1A">
      <w:pPr>
        <w:rPr>
          <w:rFonts w:ascii="Arial" w:hAnsi="Arial" w:cs="Arial"/>
        </w:rPr>
      </w:pPr>
    </w:p>
    <w:p w:rsidR="006411C5" w:rsidRPr="00C96F1A" w:rsidRDefault="006411C5" w:rsidP="00C96F1A">
      <w:pPr>
        <w:rPr>
          <w:rFonts w:ascii="Arial" w:hAnsi="Arial" w:cs="Arial"/>
        </w:rPr>
        <w:sectPr w:rsidR="006411C5" w:rsidRPr="00C96F1A" w:rsidSect="006F2791">
          <w:footerReference w:type="even" r:id="rId11"/>
          <w:footerReference w:type="default" r:id="rId12"/>
          <w:pgSz w:w="11910" w:h="16840"/>
          <w:pgMar w:top="1440" w:right="1080" w:bottom="1440" w:left="1080" w:header="0" w:footer="480" w:gutter="0"/>
          <w:pgNumType w:start="1"/>
          <w:cols w:space="720"/>
          <w:docGrid w:linePitch="299"/>
        </w:sectPr>
      </w:pPr>
    </w:p>
    <w:p w:rsidR="00673F1B" w:rsidRPr="00C96F1A" w:rsidRDefault="00673F1B" w:rsidP="00C96F1A">
      <w:pPr>
        <w:rPr>
          <w:rFonts w:ascii="Arial" w:hAnsi="Arial" w:cs="Arial"/>
          <w:highlight w:val="yellow"/>
        </w:rPr>
      </w:pPr>
      <w:bookmarkStart w:id="1" w:name="_TOC_250022"/>
      <w:bookmarkEnd w:id="1"/>
    </w:p>
    <w:p w:rsidR="00D806AE" w:rsidRDefault="00D806AE">
      <w:pPr>
        <w:spacing w:before="0" w:after="0"/>
        <w:rPr>
          <w:szCs w:val="32"/>
        </w:rPr>
      </w:pPr>
      <w:r>
        <w:br w:type="page"/>
      </w:r>
    </w:p>
    <w:p w:rsidR="009F44BE" w:rsidRDefault="009F44BE" w:rsidP="009F44BE">
      <w:pPr>
        <w:pStyle w:val="Heading1"/>
      </w:pPr>
      <w:bookmarkStart w:id="2" w:name="_Toc528845950"/>
      <w:bookmarkStart w:id="3" w:name="CONTENTS"/>
      <w:r>
        <w:lastRenderedPageBreak/>
        <w:t xml:space="preserve">Letter of </w:t>
      </w:r>
      <w:bookmarkStart w:id="4" w:name="COMPLIANCE"/>
      <w:r>
        <w:t>Compliance</w:t>
      </w:r>
      <w:bookmarkEnd w:id="4"/>
      <w:bookmarkEnd w:id="2"/>
    </w:p>
    <w:bookmarkEnd w:id="3"/>
    <w:p w:rsidR="009F44BE" w:rsidRDefault="009F44BE" w:rsidP="00C96F1A">
      <w:pPr>
        <w:pStyle w:val="NoSpacing"/>
      </w:pPr>
    </w:p>
    <w:p w:rsidR="00673F1B" w:rsidRPr="00C96F1A" w:rsidRDefault="00D806AE" w:rsidP="00E93089">
      <w:pPr>
        <w:tabs>
          <w:tab w:val="right" w:pos="9498"/>
        </w:tabs>
        <w:spacing w:before="0" w:after="0"/>
      </w:pPr>
      <w:r w:rsidRPr="00D806AE">
        <w:t>25</w:t>
      </w:r>
      <w:r w:rsidR="00673F1B" w:rsidRPr="00D806AE">
        <w:t xml:space="preserve"> September 2018</w:t>
      </w:r>
      <w:r w:rsidR="00E93089">
        <w:tab/>
        <w:t>IMAGE: QLD GOVERNMENT LOGO</w:t>
      </w:r>
    </w:p>
    <w:p w:rsidR="00D806AE" w:rsidRDefault="00D806AE" w:rsidP="00C96F1A">
      <w:pPr>
        <w:pStyle w:val="NoSpacing"/>
      </w:pPr>
    </w:p>
    <w:p w:rsidR="00D806AE" w:rsidRDefault="00D806AE" w:rsidP="00C96F1A">
      <w:pPr>
        <w:pStyle w:val="NoSpacing"/>
      </w:pPr>
    </w:p>
    <w:p w:rsidR="00C96F1A" w:rsidRDefault="00673F1B" w:rsidP="00C96F1A">
      <w:pPr>
        <w:pStyle w:val="NoSpacing"/>
      </w:pPr>
      <w:r w:rsidRPr="00C96F1A">
        <w:t xml:space="preserve">The Honourable Mick de Brenni MP </w:t>
      </w:r>
    </w:p>
    <w:p w:rsidR="00673F1B" w:rsidRPr="00C96F1A" w:rsidRDefault="00673F1B" w:rsidP="00C96F1A">
      <w:pPr>
        <w:pStyle w:val="NoSpacing"/>
      </w:pPr>
      <w:r w:rsidRPr="00C96F1A">
        <w:t>Minister for Housing and Public Works</w:t>
      </w:r>
    </w:p>
    <w:p w:rsidR="00D806AE" w:rsidRDefault="00673F1B" w:rsidP="00C96F1A">
      <w:pPr>
        <w:pStyle w:val="NoSpacing"/>
      </w:pPr>
      <w:r w:rsidRPr="00C96F1A">
        <w:t>Minister for Digital Technology</w:t>
      </w:r>
    </w:p>
    <w:p w:rsidR="00C96F1A" w:rsidRDefault="00673F1B" w:rsidP="00C96F1A">
      <w:pPr>
        <w:pStyle w:val="NoSpacing"/>
      </w:pPr>
      <w:r w:rsidRPr="00C96F1A">
        <w:t xml:space="preserve">Minister for Sport </w:t>
      </w:r>
    </w:p>
    <w:p w:rsidR="00673F1B" w:rsidRPr="00C96F1A" w:rsidRDefault="00673F1B" w:rsidP="00C96F1A">
      <w:pPr>
        <w:pStyle w:val="NoSpacing"/>
      </w:pPr>
      <w:r w:rsidRPr="00C96F1A">
        <w:t>Level 31, 1 William Street</w:t>
      </w:r>
    </w:p>
    <w:p w:rsidR="00673F1B" w:rsidRPr="00C96F1A" w:rsidRDefault="00673F1B" w:rsidP="00C96F1A">
      <w:pPr>
        <w:pStyle w:val="NoSpacing"/>
      </w:pPr>
      <w:r w:rsidRPr="00C96F1A">
        <w:t>Brisbane, QLD 4000</w:t>
      </w:r>
    </w:p>
    <w:p w:rsidR="00673F1B" w:rsidRPr="00C96F1A" w:rsidRDefault="00673F1B" w:rsidP="00C96F1A"/>
    <w:p w:rsidR="00673F1B" w:rsidRPr="00C96F1A" w:rsidRDefault="00673F1B" w:rsidP="00C96F1A"/>
    <w:p w:rsidR="00673F1B" w:rsidRPr="00C96F1A" w:rsidRDefault="00673F1B" w:rsidP="00C96F1A">
      <w:r w:rsidRPr="00C96F1A">
        <w:t>Dear Minister</w:t>
      </w:r>
    </w:p>
    <w:p w:rsidR="00673F1B" w:rsidRPr="00C96F1A" w:rsidRDefault="00673F1B" w:rsidP="00C96F1A">
      <w:r w:rsidRPr="00C96F1A">
        <w:t>I am pleased to submit for presentation to the Parliament the Annual Report 2017–18 and financial statements for the Department of Housing and Public Works.</w:t>
      </w:r>
    </w:p>
    <w:p w:rsidR="00673F1B" w:rsidRPr="00C96F1A" w:rsidRDefault="00673F1B" w:rsidP="00C96F1A">
      <w:r w:rsidRPr="00C96F1A">
        <w:t>This report is prepared on the basis of the current administrative arrangements for the department applying for the whole of the 2017–18 financial year. That is, it reflects the structure, operations and performance of the department as at 30 June 2018.</w:t>
      </w:r>
    </w:p>
    <w:p w:rsidR="00673F1B" w:rsidRPr="00C96F1A" w:rsidRDefault="00673F1B" w:rsidP="00C96F1A">
      <w:r w:rsidRPr="00C96F1A">
        <w:t>I certify that this Annual Report complies with:</w:t>
      </w:r>
    </w:p>
    <w:p w:rsidR="009F44BE" w:rsidRDefault="00673F1B" w:rsidP="009F44BE">
      <w:pPr>
        <w:pStyle w:val="ListParagraph"/>
        <w:numPr>
          <w:ilvl w:val="0"/>
          <w:numId w:val="111"/>
        </w:numPr>
      </w:pPr>
      <w:r w:rsidRPr="00C96F1A">
        <w:t xml:space="preserve">the prescribed requirements of the </w:t>
      </w:r>
      <w:r w:rsidRPr="009F44BE">
        <w:rPr>
          <w:i/>
        </w:rPr>
        <w:t>Financial Accountability Act 2009</w:t>
      </w:r>
      <w:r w:rsidRPr="00C96F1A">
        <w:t xml:space="preserve"> and the </w:t>
      </w:r>
      <w:r w:rsidRPr="009F44BE">
        <w:rPr>
          <w:i/>
        </w:rPr>
        <w:t>Financial and Performance Management Standard 2009</w:t>
      </w:r>
      <w:r w:rsidRPr="00C96F1A">
        <w:t>, and</w:t>
      </w:r>
    </w:p>
    <w:p w:rsidR="00673F1B" w:rsidRPr="00C96F1A" w:rsidRDefault="00673F1B" w:rsidP="009F44BE">
      <w:pPr>
        <w:pStyle w:val="ListParagraph"/>
        <w:numPr>
          <w:ilvl w:val="0"/>
          <w:numId w:val="111"/>
        </w:numPr>
      </w:pPr>
      <w:r w:rsidRPr="00C96F1A">
        <w:t>the detailed requirements set out in the Annual report requirements for Queensland Government agencies.</w:t>
      </w:r>
    </w:p>
    <w:p w:rsidR="00673F1B" w:rsidRPr="00C96F1A" w:rsidRDefault="00673F1B" w:rsidP="00C96F1A">
      <w:r w:rsidRPr="00C96F1A">
        <w:t xml:space="preserve">A checklist outlining the annual reporting requirements can be found at page </w:t>
      </w:r>
      <w:r w:rsidR="00D31D02">
        <w:fldChar w:fldCharType="begin"/>
      </w:r>
      <w:r w:rsidR="00D31D02">
        <w:instrText xml:space="preserve"> PAGEREF CHECKLIST \h </w:instrText>
      </w:r>
      <w:r w:rsidR="00D31D02">
        <w:fldChar w:fldCharType="separate"/>
      </w:r>
      <w:r w:rsidR="00791D73">
        <w:rPr>
          <w:noProof/>
        </w:rPr>
        <w:t>102</w:t>
      </w:r>
      <w:r w:rsidR="00D31D02">
        <w:fldChar w:fldCharType="end"/>
      </w:r>
      <w:r w:rsidRPr="00D31D02">
        <w:t xml:space="preserve"> of this annual report.</w:t>
      </w:r>
    </w:p>
    <w:p w:rsidR="00744B55" w:rsidRDefault="00744B55" w:rsidP="00C96F1A"/>
    <w:p w:rsidR="00673F1B" w:rsidRPr="00C96F1A" w:rsidRDefault="00673F1B" w:rsidP="00C96F1A">
      <w:r w:rsidRPr="00C96F1A">
        <w:t>Yours sincerely</w:t>
      </w:r>
    </w:p>
    <w:p w:rsidR="00673F1B" w:rsidRPr="00C96F1A" w:rsidRDefault="009F44BE" w:rsidP="00C96F1A">
      <w:r>
        <w:t>IMAGE: SIGNATURE OF LIZA CARROLL</w:t>
      </w:r>
    </w:p>
    <w:p w:rsidR="00673F1B" w:rsidRPr="00C96F1A" w:rsidRDefault="00673F1B" w:rsidP="00C96F1A"/>
    <w:p w:rsidR="00673F1B" w:rsidRPr="00C96F1A" w:rsidRDefault="00673F1B" w:rsidP="00C96F1A"/>
    <w:p w:rsidR="00673F1B" w:rsidRPr="00C96F1A" w:rsidRDefault="00673F1B" w:rsidP="00C96F1A"/>
    <w:p w:rsidR="00673F1B" w:rsidRPr="00C96F1A" w:rsidRDefault="00673F1B" w:rsidP="00C96F1A"/>
    <w:p w:rsidR="00673F1B" w:rsidRPr="00C96F1A" w:rsidRDefault="00673F1B" w:rsidP="00C96F1A">
      <w:r w:rsidRPr="00C96F1A">
        <w:t>Liza Carroll</w:t>
      </w:r>
    </w:p>
    <w:p w:rsidR="00673F1B" w:rsidRPr="00C96F1A" w:rsidRDefault="00673F1B" w:rsidP="00C96F1A">
      <w:r w:rsidRPr="00C96F1A">
        <w:t xml:space="preserve">Director-General </w:t>
      </w:r>
    </w:p>
    <w:p w:rsidR="009F44BE" w:rsidRDefault="009F44BE" w:rsidP="00D806AE">
      <w:bookmarkStart w:id="5" w:name="_TOC_250021"/>
      <w:bookmarkEnd w:id="5"/>
    </w:p>
    <w:p w:rsidR="009F44BE" w:rsidRDefault="009F44BE" w:rsidP="00D806AE"/>
    <w:p w:rsidR="009F44BE" w:rsidRDefault="009F44BE" w:rsidP="009F44BE">
      <w:pPr>
        <w:tabs>
          <w:tab w:val="right" w:pos="9498"/>
        </w:tabs>
        <w:spacing w:before="0" w:after="0"/>
      </w:pPr>
      <w:r>
        <w:t>Level 31 1 William Street</w:t>
      </w:r>
      <w:r>
        <w:tab/>
        <w:t>Telephone +617 3008 2934</w:t>
      </w:r>
    </w:p>
    <w:p w:rsidR="009F44BE" w:rsidRDefault="009F44BE" w:rsidP="009F44BE">
      <w:pPr>
        <w:tabs>
          <w:tab w:val="right" w:pos="9498"/>
        </w:tabs>
        <w:spacing w:before="0" w:after="0"/>
      </w:pPr>
      <w:r>
        <w:t>Brisbane Queensland</w:t>
      </w:r>
      <w:r>
        <w:tab/>
        <w:t>Fac</w:t>
      </w:r>
      <w:r w:rsidR="008765FE">
        <w:t>s</w:t>
      </w:r>
      <w:r>
        <w:t>imile</w:t>
      </w:r>
      <w:r w:rsidR="008765FE">
        <w:t>: + 671 3224 5616</w:t>
      </w:r>
    </w:p>
    <w:p w:rsidR="009F44BE" w:rsidRDefault="009F44BE" w:rsidP="009F44BE">
      <w:pPr>
        <w:tabs>
          <w:tab w:val="right" w:pos="9498"/>
        </w:tabs>
        <w:spacing w:before="0" w:after="0"/>
      </w:pPr>
      <w:r>
        <w:t>GPO Box 2457 Brisbane</w:t>
      </w:r>
      <w:r w:rsidR="008765FE">
        <w:tab/>
        <w:t>Website www.hpw.qld.gov.au</w:t>
      </w:r>
    </w:p>
    <w:p w:rsidR="00473495" w:rsidRPr="00D806AE" w:rsidRDefault="009F44BE" w:rsidP="009F44BE">
      <w:pPr>
        <w:tabs>
          <w:tab w:val="right" w:pos="9498"/>
        </w:tabs>
        <w:spacing w:before="0" w:after="0"/>
      </w:pPr>
      <w:r>
        <w:t>Queensland 4001 Australia</w:t>
      </w:r>
      <w:r w:rsidR="00473495" w:rsidRPr="00D806AE">
        <w:br w:type="page"/>
      </w:r>
    </w:p>
    <w:p w:rsidR="0028598A" w:rsidRPr="00A713CF" w:rsidRDefault="00B625AF" w:rsidP="00A713CF">
      <w:pPr>
        <w:pStyle w:val="Heading1"/>
      </w:pPr>
      <w:bookmarkStart w:id="6" w:name="_Toc528845951"/>
      <w:r w:rsidRPr="00A713CF">
        <w:lastRenderedPageBreak/>
        <w:t>Communication objective</w:t>
      </w:r>
      <w:bookmarkEnd w:id="6"/>
    </w:p>
    <w:p w:rsidR="0028598A" w:rsidRPr="00C96F1A" w:rsidRDefault="00B625AF" w:rsidP="00C96F1A">
      <w:pPr>
        <w:rPr>
          <w:rFonts w:ascii="Arial" w:hAnsi="Arial" w:cs="Arial"/>
        </w:rPr>
      </w:pPr>
      <w:r w:rsidRPr="00C96F1A">
        <w:rPr>
          <w:rFonts w:ascii="Arial" w:hAnsi="Arial" w:cs="Arial"/>
        </w:rPr>
        <w:t xml:space="preserve">This Annual Report provides information about the Department of Housing and Public Works’ financial and non-financial performance for 2017–18. It has been prepared in accordance with the </w:t>
      </w:r>
      <w:r w:rsidRPr="00A713CF">
        <w:rPr>
          <w:rFonts w:ascii="Arial" w:hAnsi="Arial" w:cs="Arial"/>
          <w:i/>
        </w:rPr>
        <w:t>Financial Accountability Act 2009, the Financial and Performance Management Standard 2009</w:t>
      </w:r>
      <w:r w:rsidRPr="00C96F1A">
        <w:rPr>
          <w:rFonts w:ascii="Arial" w:hAnsi="Arial" w:cs="Arial"/>
        </w:rPr>
        <w:t xml:space="preserve"> and the </w:t>
      </w:r>
      <w:r w:rsidRPr="00A713CF">
        <w:rPr>
          <w:rFonts w:ascii="Arial" w:hAnsi="Arial" w:cs="Arial"/>
          <w:i/>
        </w:rPr>
        <w:t>Annual report requirements for Queensland Government agencies</w:t>
      </w:r>
      <w:r w:rsidRPr="00C96F1A">
        <w:rPr>
          <w:rFonts w:ascii="Arial" w:hAnsi="Arial" w:cs="Arial"/>
        </w:rPr>
        <w:t>.</w:t>
      </w:r>
    </w:p>
    <w:p w:rsidR="0028598A" w:rsidRPr="00C96F1A" w:rsidRDefault="00B625AF" w:rsidP="00C96F1A">
      <w:pPr>
        <w:rPr>
          <w:rFonts w:ascii="Arial" w:hAnsi="Arial" w:cs="Arial"/>
        </w:rPr>
      </w:pPr>
      <w:r w:rsidRPr="00C96F1A">
        <w:rPr>
          <w:rFonts w:ascii="Arial" w:hAnsi="Arial" w:cs="Arial"/>
        </w:rPr>
        <w:t xml:space="preserve">The report records the significant achievements against the strategies detailed in the department’s </w:t>
      </w:r>
      <w:r w:rsidR="00C96F1A" w:rsidRPr="00C96F1A">
        <w:rPr>
          <w:rFonts w:ascii="Arial" w:hAnsi="Arial" w:cs="Arial"/>
          <w:i/>
        </w:rPr>
        <w:t>Strategic Plan 2017–21</w:t>
      </w:r>
      <w:r w:rsidRPr="00C96F1A">
        <w:rPr>
          <w:rFonts w:ascii="Arial" w:hAnsi="Arial" w:cs="Arial"/>
        </w:rPr>
        <w:t xml:space="preserve"> and the </w:t>
      </w:r>
      <w:r w:rsidRPr="00A713CF">
        <w:rPr>
          <w:rFonts w:ascii="Arial" w:hAnsi="Arial" w:cs="Arial"/>
          <w:i/>
        </w:rPr>
        <w:t>2017–18 Service Delivery Statements</w:t>
      </w:r>
      <w:r w:rsidRPr="00C96F1A">
        <w:rPr>
          <w:rFonts w:ascii="Arial" w:hAnsi="Arial" w:cs="Arial"/>
        </w:rPr>
        <w:t>.</w:t>
      </w:r>
    </w:p>
    <w:p w:rsidR="0028598A" w:rsidRPr="00C96F1A" w:rsidRDefault="00B625AF" w:rsidP="00C96F1A">
      <w:pPr>
        <w:rPr>
          <w:rFonts w:ascii="Arial" w:hAnsi="Arial" w:cs="Arial"/>
        </w:rPr>
      </w:pPr>
      <w:r w:rsidRPr="00C96F1A">
        <w:rPr>
          <w:rFonts w:ascii="Arial" w:hAnsi="Arial" w:cs="Arial"/>
        </w:rPr>
        <w:t>The Queensland Government is committed to providing accessible services to Queenslanders from all culturally and linguistically diverse backgrounds. If you have difficulty in understanding the Annual Report, you can contact us on</w:t>
      </w:r>
    </w:p>
    <w:p w:rsidR="0028598A" w:rsidRPr="00C96F1A" w:rsidRDefault="00B625AF" w:rsidP="00C96F1A">
      <w:pPr>
        <w:rPr>
          <w:rFonts w:ascii="Arial" w:hAnsi="Arial" w:cs="Arial"/>
        </w:rPr>
      </w:pPr>
      <w:r w:rsidRPr="00C96F1A">
        <w:rPr>
          <w:rFonts w:ascii="Arial" w:hAnsi="Arial" w:cs="Arial"/>
        </w:rPr>
        <w:t xml:space="preserve">13 QGOV (13 74 68) and we will arrange an </w:t>
      </w:r>
      <w:bookmarkStart w:id="7" w:name="INTERPRETER"/>
      <w:r w:rsidRPr="00C96F1A">
        <w:rPr>
          <w:rFonts w:ascii="Arial" w:hAnsi="Arial" w:cs="Arial"/>
        </w:rPr>
        <w:t xml:space="preserve">interpreter </w:t>
      </w:r>
      <w:bookmarkEnd w:id="7"/>
      <w:r w:rsidRPr="00C96F1A">
        <w:rPr>
          <w:rFonts w:ascii="Arial" w:hAnsi="Arial" w:cs="Arial"/>
        </w:rPr>
        <w:t>to communicate the report to you.</w:t>
      </w:r>
    </w:p>
    <w:p w:rsidR="0028598A" w:rsidRPr="00C96F1A" w:rsidRDefault="00470689" w:rsidP="00C96F1A">
      <w:pPr>
        <w:rPr>
          <w:rFonts w:ascii="Arial" w:hAnsi="Arial" w:cs="Arial"/>
        </w:rPr>
      </w:pPr>
      <w:hyperlink r:id="rId13">
        <w:r w:rsidR="00B625AF" w:rsidRPr="00C96F1A">
          <w:rPr>
            <w:rStyle w:val="Hyperlink"/>
            <w:rFonts w:ascii="Arial" w:hAnsi="Arial" w:cs="Arial"/>
          </w:rPr>
          <w:t>www.qld.gov.au/languages</w:t>
        </w:r>
      </w:hyperlink>
    </w:p>
    <w:p w:rsidR="00A713CF" w:rsidRDefault="00A713CF" w:rsidP="00A713CF">
      <w:r>
        <w:rPr>
          <w:noProof/>
          <w:lang w:eastAsia="en-AU"/>
        </w:rPr>
        <w:drawing>
          <wp:anchor distT="0" distB="0" distL="114300" distR="114300" simplePos="0" relativeHeight="251661824" behindDoc="1" locked="0" layoutInCell="1" allowOverlap="1" wp14:anchorId="6CD3A307" wp14:editId="0E22354A">
            <wp:simplePos x="0" y="0"/>
            <wp:positionH relativeFrom="page">
              <wp:posOffset>685800</wp:posOffset>
            </wp:positionH>
            <wp:positionV relativeFrom="paragraph">
              <wp:posOffset>59690</wp:posOffset>
            </wp:positionV>
            <wp:extent cx="447675" cy="440055"/>
            <wp:effectExtent l="0" t="0" r="0" b="0"/>
            <wp:wrapSquare wrapText="bothSides"/>
            <wp:docPr id="2" name="Picture 2" descr="IMAGE: INTERPRETE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440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13CF" w:rsidRDefault="00822572" w:rsidP="00A713CF">
      <w:r>
        <w:t>IMAGE: INTERPRETER SYMBOL</w:t>
      </w:r>
    </w:p>
    <w:p w:rsidR="0028598A" w:rsidRPr="00C96F1A" w:rsidRDefault="00B625AF" w:rsidP="00A713CF">
      <w:pPr>
        <w:pStyle w:val="Heading4"/>
      </w:pPr>
      <w:r w:rsidRPr="00C96F1A">
        <w:t>Online Open Data Reporting</w:t>
      </w:r>
    </w:p>
    <w:p w:rsidR="0028598A" w:rsidRPr="00C96F1A" w:rsidRDefault="00B625AF" w:rsidP="00C96F1A">
      <w:pPr>
        <w:rPr>
          <w:rFonts w:ascii="Arial" w:hAnsi="Arial" w:cs="Arial"/>
        </w:rPr>
      </w:pPr>
      <w:bookmarkStart w:id="8" w:name="PUBLIC_AVAILABLITY"/>
      <w:r w:rsidRPr="00C96F1A">
        <w:rPr>
          <w:rFonts w:ascii="Arial" w:hAnsi="Arial" w:cs="Arial"/>
        </w:rPr>
        <w:t xml:space="preserve">Content </w:t>
      </w:r>
      <w:bookmarkEnd w:id="8"/>
      <w:r w:rsidRPr="00C96F1A">
        <w:rPr>
          <w:rFonts w:ascii="Arial" w:hAnsi="Arial" w:cs="Arial"/>
        </w:rPr>
        <w:t>for the following annual reporting requirements can also be accessed on the department’s website at</w:t>
      </w:r>
    </w:p>
    <w:p w:rsidR="0028598A" w:rsidRPr="00C96F1A" w:rsidRDefault="00470689" w:rsidP="00C96F1A">
      <w:pPr>
        <w:rPr>
          <w:rFonts w:ascii="Arial" w:hAnsi="Arial" w:cs="Arial"/>
        </w:rPr>
      </w:pPr>
      <w:hyperlink r:id="rId15">
        <w:r w:rsidR="005F7F92">
          <w:rPr>
            <w:rStyle w:val="Hyperlink"/>
            <w:rFonts w:ascii="Arial" w:hAnsi="Arial" w:cs="Arial"/>
          </w:rPr>
          <w:t>http://www.hpw.qld.gov.au</w:t>
        </w:r>
      </w:hyperlink>
      <w:r w:rsidR="00B625AF" w:rsidRPr="00C96F1A">
        <w:rPr>
          <w:rFonts w:ascii="Arial" w:hAnsi="Arial" w:cs="Arial"/>
        </w:rPr>
        <w:t xml:space="preserve"> </w:t>
      </w:r>
      <w:r w:rsidR="005F7F92">
        <w:rPr>
          <w:rFonts w:ascii="Arial" w:hAnsi="Arial" w:cs="Arial"/>
        </w:rPr>
        <w:t xml:space="preserve">and </w:t>
      </w:r>
      <w:r w:rsidR="00B625AF" w:rsidRPr="00C96F1A">
        <w:rPr>
          <w:rFonts w:ascii="Arial" w:hAnsi="Arial" w:cs="Arial"/>
        </w:rPr>
        <w:t>the Queensland Government data website at https://data.qld.gov.au/:</w:t>
      </w:r>
    </w:p>
    <w:p w:rsidR="0028598A" w:rsidRPr="00A713CF" w:rsidRDefault="00B625AF" w:rsidP="00D806AE">
      <w:pPr>
        <w:pStyle w:val="ListParagraph"/>
        <w:numPr>
          <w:ilvl w:val="0"/>
          <w:numId w:val="1"/>
        </w:numPr>
      </w:pPr>
      <w:r w:rsidRPr="00A713CF">
        <w:t>consultancies</w:t>
      </w:r>
    </w:p>
    <w:p w:rsidR="0028598A" w:rsidRPr="00A713CF" w:rsidRDefault="00B625AF" w:rsidP="00D806AE">
      <w:pPr>
        <w:pStyle w:val="ListParagraph"/>
        <w:numPr>
          <w:ilvl w:val="0"/>
          <w:numId w:val="1"/>
        </w:numPr>
      </w:pPr>
      <w:r w:rsidRPr="00A713CF">
        <w:t>overseas travel</w:t>
      </w:r>
    </w:p>
    <w:p w:rsidR="0028598A" w:rsidRPr="00A713CF" w:rsidRDefault="00B625AF" w:rsidP="00D806AE">
      <w:pPr>
        <w:pStyle w:val="ListParagraph"/>
        <w:numPr>
          <w:ilvl w:val="0"/>
          <w:numId w:val="1"/>
        </w:numPr>
      </w:pPr>
      <w:r w:rsidRPr="00A713CF">
        <w:t>Queensland Languages Services Policy.</w:t>
      </w:r>
    </w:p>
    <w:p w:rsidR="0028598A" w:rsidRPr="00C96F1A" w:rsidRDefault="00B625AF" w:rsidP="00A713CF">
      <w:pPr>
        <w:pStyle w:val="Heading4"/>
      </w:pPr>
      <w:r w:rsidRPr="00C96F1A">
        <w:t>Department of Housing and Public Works Annual Report 2017–18.</w:t>
      </w:r>
    </w:p>
    <w:p w:rsidR="0028598A" w:rsidRPr="00C96F1A" w:rsidRDefault="00B625AF" w:rsidP="00C96F1A">
      <w:pPr>
        <w:rPr>
          <w:rFonts w:ascii="Arial" w:hAnsi="Arial" w:cs="Arial"/>
        </w:rPr>
      </w:pPr>
      <w:bookmarkStart w:id="9" w:name="COPYRIGHT"/>
      <w:r w:rsidRPr="00C96F1A">
        <w:rPr>
          <w:rFonts w:ascii="Arial" w:hAnsi="Arial" w:cs="Arial"/>
        </w:rPr>
        <w:t xml:space="preserve">© </w:t>
      </w:r>
      <w:bookmarkEnd w:id="9"/>
      <w:r w:rsidRPr="00C96F1A">
        <w:rPr>
          <w:rFonts w:ascii="Arial" w:hAnsi="Arial" w:cs="Arial"/>
        </w:rPr>
        <w:t>The State of Queensland (Department of Housing and Public Works) 2018.</w:t>
      </w:r>
    </w:p>
    <w:p w:rsidR="0028598A" w:rsidRPr="00C96F1A" w:rsidRDefault="00B625AF" w:rsidP="00C96F1A">
      <w:pPr>
        <w:rPr>
          <w:rFonts w:ascii="Arial" w:hAnsi="Arial" w:cs="Arial"/>
        </w:rPr>
      </w:pPr>
      <w:r w:rsidRPr="00C96F1A">
        <w:rPr>
          <w:rFonts w:ascii="Arial" w:hAnsi="Arial" w:cs="Arial"/>
        </w:rPr>
        <w:t>Published by the Queensland Government, September 2018, 1 William Street, Brisbane Qld 4000.</w:t>
      </w:r>
    </w:p>
    <w:p w:rsidR="0028598A" w:rsidRDefault="00B625AF" w:rsidP="00A713CF">
      <w:pPr>
        <w:pStyle w:val="Heading4"/>
      </w:pPr>
      <w:r w:rsidRPr="00C96F1A">
        <w:t>Licence</w:t>
      </w:r>
      <w:r w:rsidR="00A713CF">
        <w:t xml:space="preserve"> </w:t>
      </w:r>
      <w:r w:rsidR="00A713CF" w:rsidRPr="005E0AF4">
        <w:rPr>
          <w:noProof/>
          <w:lang w:eastAsia="en-AU"/>
        </w:rPr>
        <w:drawing>
          <wp:inline distT="0" distB="0" distL="0" distR="0" wp14:anchorId="09920EF0" wp14:editId="4353B5CC">
            <wp:extent cx="937058" cy="325754"/>
            <wp:effectExtent l="0" t="0" r="0" b="0"/>
            <wp:docPr id="3" name="image8.png" descr="Creative Commons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16" cstate="print"/>
                    <a:stretch>
                      <a:fillRect/>
                    </a:stretch>
                  </pic:blipFill>
                  <pic:spPr>
                    <a:xfrm>
                      <a:off x="0" y="0"/>
                      <a:ext cx="937058" cy="325754"/>
                    </a:xfrm>
                    <a:prstGeom prst="rect">
                      <a:avLst/>
                    </a:prstGeom>
                  </pic:spPr>
                </pic:pic>
              </a:graphicData>
            </a:graphic>
          </wp:inline>
        </w:drawing>
      </w:r>
      <w:r w:rsidR="00822572">
        <w:t xml:space="preserve"> </w:t>
      </w:r>
    </w:p>
    <w:p w:rsidR="00822572" w:rsidRPr="00822572" w:rsidRDefault="00822572" w:rsidP="00822572">
      <w:r>
        <w:t xml:space="preserve">IMAGE: </w:t>
      </w:r>
      <w:r w:rsidR="00955566">
        <w:t>CREATIVE COMMONS ATTRIBUTION</w:t>
      </w:r>
      <w:r>
        <w:t xml:space="preserve"> SYMBOL</w:t>
      </w:r>
    </w:p>
    <w:p w:rsidR="0028598A" w:rsidRPr="00C96F1A" w:rsidRDefault="00B625AF" w:rsidP="00C96F1A">
      <w:pPr>
        <w:rPr>
          <w:rFonts w:ascii="Arial" w:hAnsi="Arial" w:cs="Arial"/>
        </w:rPr>
      </w:pPr>
      <w:r w:rsidRPr="00C96F1A">
        <w:rPr>
          <w:rFonts w:ascii="Arial" w:hAnsi="Arial" w:cs="Arial"/>
        </w:rPr>
        <w:t xml:space="preserve">This </w:t>
      </w:r>
      <w:r w:rsidR="005F7F92">
        <w:rPr>
          <w:rFonts w:ascii="Arial" w:hAnsi="Arial" w:cs="Arial"/>
        </w:rPr>
        <w:t>A</w:t>
      </w:r>
      <w:r w:rsidRPr="00C96F1A">
        <w:rPr>
          <w:rFonts w:ascii="Arial" w:hAnsi="Arial" w:cs="Arial"/>
        </w:rPr>
        <w:t xml:space="preserve">nnual </w:t>
      </w:r>
      <w:r w:rsidR="005F7F92">
        <w:rPr>
          <w:rFonts w:ascii="Arial" w:hAnsi="Arial" w:cs="Arial"/>
        </w:rPr>
        <w:t>R</w:t>
      </w:r>
      <w:r w:rsidRPr="00C96F1A">
        <w:rPr>
          <w:rFonts w:ascii="Arial" w:hAnsi="Arial" w:cs="Arial"/>
        </w:rPr>
        <w:t>eport is licensed by the State of Queensland (Department of Housing and Public Works) under a Creative Commons Attribution (CC BY) 4.0 International licence.</w:t>
      </w:r>
    </w:p>
    <w:p w:rsidR="0028598A" w:rsidRPr="00C96F1A" w:rsidRDefault="00B625AF" w:rsidP="00A713CF">
      <w:pPr>
        <w:pStyle w:val="Heading4"/>
      </w:pPr>
      <w:r w:rsidRPr="00C96F1A">
        <w:t>CC By Licence Summary Statement:</w:t>
      </w:r>
    </w:p>
    <w:p w:rsidR="0028598A" w:rsidRPr="00C96F1A" w:rsidRDefault="00B625AF" w:rsidP="00C96F1A">
      <w:pPr>
        <w:rPr>
          <w:rFonts w:ascii="Arial" w:hAnsi="Arial" w:cs="Arial"/>
        </w:rPr>
      </w:pPr>
      <w:r w:rsidRPr="00C96F1A">
        <w:rPr>
          <w:rFonts w:ascii="Arial" w:hAnsi="Arial" w:cs="Arial"/>
        </w:rPr>
        <w:t>In essence, you are free to copy, communicate and adapt this Annual Report, as long as you attribute the work to the State of Queensland (Department of Housing and Public Works).</w:t>
      </w:r>
    </w:p>
    <w:p w:rsidR="0028598A" w:rsidRPr="00C96F1A" w:rsidRDefault="00B625AF" w:rsidP="00C96F1A">
      <w:pPr>
        <w:rPr>
          <w:rFonts w:ascii="Arial" w:hAnsi="Arial" w:cs="Arial"/>
        </w:rPr>
      </w:pPr>
      <w:r w:rsidRPr="00C96F1A">
        <w:rPr>
          <w:rFonts w:ascii="Arial" w:hAnsi="Arial" w:cs="Arial"/>
        </w:rPr>
        <w:t xml:space="preserve">To view a copy of this licence, visit: </w:t>
      </w:r>
      <w:hyperlink r:id="rId17">
        <w:r w:rsidRPr="00C96F1A">
          <w:rPr>
            <w:rStyle w:val="Hyperlink"/>
            <w:rFonts w:ascii="Arial" w:hAnsi="Arial" w:cs="Arial"/>
          </w:rPr>
          <w:t>http://creativecommons.org/licenses/by/4.0/</w:t>
        </w:r>
      </w:hyperlink>
    </w:p>
    <w:p w:rsidR="0028598A" w:rsidRPr="00C96F1A" w:rsidRDefault="0028598A" w:rsidP="00C96F1A">
      <w:pPr>
        <w:rPr>
          <w:rFonts w:ascii="Arial" w:hAnsi="Arial" w:cs="Arial"/>
        </w:rPr>
      </w:pPr>
    </w:p>
    <w:p w:rsidR="00822572" w:rsidRDefault="00822572">
      <w:pPr>
        <w:spacing w:before="0" w:after="0"/>
        <w:rPr>
          <w:rFonts w:cstheme="majorBidi"/>
          <w:b/>
          <w:bCs/>
          <w:sz w:val="28"/>
          <w:szCs w:val="28"/>
        </w:rPr>
      </w:pPr>
      <w:r>
        <w:br w:type="page"/>
      </w:r>
    </w:p>
    <w:p w:rsidR="0028598A" w:rsidRPr="00C96F1A" w:rsidRDefault="00B625AF" w:rsidP="00A713CF">
      <w:pPr>
        <w:pStyle w:val="Heading4"/>
      </w:pPr>
      <w:r w:rsidRPr="00C96F1A">
        <w:lastRenderedPageBreak/>
        <w:t>Attribution:</w:t>
      </w:r>
    </w:p>
    <w:p w:rsidR="0028598A" w:rsidRPr="00C96F1A" w:rsidRDefault="00B625AF" w:rsidP="00C96F1A">
      <w:pPr>
        <w:rPr>
          <w:rFonts w:ascii="Arial" w:hAnsi="Arial" w:cs="Arial"/>
        </w:rPr>
      </w:pPr>
      <w:r w:rsidRPr="00C96F1A">
        <w:rPr>
          <w:rFonts w:ascii="Arial" w:hAnsi="Arial" w:cs="Arial"/>
        </w:rPr>
        <w:t>Content from this Annual Report should be attributed as:</w:t>
      </w:r>
    </w:p>
    <w:p w:rsidR="0028598A" w:rsidRPr="00C96F1A" w:rsidRDefault="00B625AF" w:rsidP="00C96F1A">
      <w:pPr>
        <w:rPr>
          <w:rFonts w:ascii="Arial" w:hAnsi="Arial" w:cs="Arial"/>
        </w:rPr>
      </w:pPr>
      <w:r w:rsidRPr="00C96F1A">
        <w:rPr>
          <w:rFonts w:ascii="Arial" w:hAnsi="Arial" w:cs="Arial"/>
        </w:rPr>
        <w:t>The State of Queensland (Department of Housing and Public Works) Annual Report 2017–18.</w:t>
      </w:r>
    </w:p>
    <w:p w:rsidR="0028598A" w:rsidRPr="00A713CF" w:rsidRDefault="00B625AF" w:rsidP="00C96F1A">
      <w:pPr>
        <w:rPr>
          <w:rStyle w:val="Hyperlink"/>
        </w:rPr>
      </w:pPr>
      <w:r w:rsidRPr="00C96F1A">
        <w:rPr>
          <w:rFonts w:ascii="Arial" w:hAnsi="Arial" w:cs="Arial"/>
        </w:rPr>
        <w:t xml:space="preserve">Further copies of this report are available at </w:t>
      </w:r>
      <w:hyperlink r:id="rId18">
        <w:r w:rsidRPr="00A713CF">
          <w:rPr>
            <w:rStyle w:val="Hyperlink"/>
          </w:rPr>
          <w:t>http://www.hpw.qld.gov.au/aboutus/ReportsPublications/</w:t>
        </w:r>
      </w:hyperlink>
      <w:r w:rsidRPr="00A713CF">
        <w:rPr>
          <w:rStyle w:val="Hyperlink"/>
        </w:rPr>
        <w:t>AnnualReports/Pages/default.aspx</w:t>
      </w:r>
    </w:p>
    <w:p w:rsidR="0028598A" w:rsidRPr="00C96F1A" w:rsidRDefault="00B625AF" w:rsidP="00C96F1A">
      <w:pPr>
        <w:rPr>
          <w:rFonts w:ascii="Arial" w:hAnsi="Arial" w:cs="Arial"/>
        </w:rPr>
      </w:pPr>
      <w:r w:rsidRPr="00C96F1A">
        <w:rPr>
          <w:rFonts w:ascii="Arial" w:hAnsi="Arial" w:cs="Arial"/>
        </w:rPr>
        <w:t>or by contacting Governance, Planning and Performance, Department of Housing and Public Works on 13 QGOV (13 74 68).</w:t>
      </w:r>
    </w:p>
    <w:p w:rsidR="0028598A" w:rsidRPr="00C96F1A" w:rsidRDefault="00B625AF" w:rsidP="00C96F1A">
      <w:pPr>
        <w:rPr>
          <w:rFonts w:ascii="Arial" w:hAnsi="Arial" w:cs="Arial"/>
        </w:rPr>
      </w:pPr>
      <w:r w:rsidRPr="00C96F1A">
        <w:rPr>
          <w:rFonts w:ascii="Arial" w:hAnsi="Arial" w:cs="Arial"/>
        </w:rPr>
        <w:t xml:space="preserve">If you have trouble viewing or printing this document, contact us and we will supply it in an alternative format, such as hardcopy or </w:t>
      </w:r>
      <w:r w:rsidR="005F7F92">
        <w:rPr>
          <w:rFonts w:ascii="Arial" w:hAnsi="Arial" w:cs="Arial"/>
        </w:rPr>
        <w:t>portable storage device.</w:t>
      </w:r>
    </w:p>
    <w:p w:rsidR="0028598A" w:rsidRPr="00C96F1A" w:rsidRDefault="00B625AF" w:rsidP="00C96F1A">
      <w:pPr>
        <w:rPr>
          <w:rFonts w:ascii="Arial" w:hAnsi="Arial" w:cs="Arial"/>
        </w:rPr>
      </w:pPr>
      <w:r w:rsidRPr="00C96F1A">
        <w:rPr>
          <w:rFonts w:ascii="Arial" w:hAnsi="Arial" w:cs="Arial"/>
        </w:rPr>
        <w:t xml:space="preserve">Email:  </w:t>
      </w:r>
      <w:hyperlink r:id="rId19">
        <w:r w:rsidRPr="00C96F1A">
          <w:rPr>
            <w:rStyle w:val="Hyperlink"/>
            <w:rFonts w:ascii="Arial" w:hAnsi="Arial" w:cs="Arial"/>
          </w:rPr>
          <w:t>COR.GPP@hpw.qld.gov.au</w:t>
        </w:r>
      </w:hyperlink>
    </w:p>
    <w:p w:rsidR="0028598A" w:rsidRPr="00C96F1A" w:rsidRDefault="0028598A" w:rsidP="00C96F1A">
      <w:pPr>
        <w:rPr>
          <w:rFonts w:ascii="Arial" w:hAnsi="Arial" w:cs="Arial"/>
        </w:rPr>
      </w:pPr>
    </w:p>
    <w:p w:rsidR="00053C2E" w:rsidRDefault="00B625AF" w:rsidP="00C96F1A">
      <w:pPr>
        <w:rPr>
          <w:rFonts w:ascii="Arial" w:hAnsi="Arial" w:cs="Arial"/>
        </w:rPr>
      </w:pPr>
      <w:r w:rsidRPr="00C96F1A">
        <w:rPr>
          <w:rFonts w:ascii="Arial" w:hAnsi="Arial" w:cs="Arial"/>
        </w:rPr>
        <w:t>ISSN 2201-1401</w:t>
      </w:r>
    </w:p>
    <w:p w:rsidR="00053C2E" w:rsidRDefault="00053C2E" w:rsidP="00053C2E">
      <w:r>
        <w:br w:type="page"/>
      </w:r>
    </w:p>
    <w:p w:rsidR="0028598A" w:rsidRPr="00734ED6" w:rsidRDefault="00B625AF" w:rsidP="00734ED6">
      <w:pPr>
        <w:pStyle w:val="Heading1"/>
      </w:pPr>
      <w:bookmarkStart w:id="10" w:name="DG_MESSAGE"/>
      <w:bookmarkStart w:id="11" w:name="_Toc528845952"/>
      <w:r w:rsidRPr="00734ED6">
        <w:lastRenderedPageBreak/>
        <w:t xml:space="preserve">Message </w:t>
      </w:r>
      <w:bookmarkEnd w:id="10"/>
      <w:r w:rsidRPr="00734ED6">
        <w:t>from the</w:t>
      </w:r>
      <w:r w:rsidR="00053C2E" w:rsidRPr="00734ED6">
        <w:t xml:space="preserve"> </w:t>
      </w:r>
      <w:r w:rsidRPr="00734ED6">
        <w:t>Director–General</w:t>
      </w:r>
      <w:bookmarkEnd w:id="11"/>
    </w:p>
    <w:p w:rsidR="0028598A" w:rsidRPr="00C96F1A" w:rsidRDefault="00B625AF" w:rsidP="00C96F1A">
      <w:pPr>
        <w:rPr>
          <w:rFonts w:ascii="Arial" w:hAnsi="Arial" w:cs="Arial"/>
        </w:rPr>
      </w:pPr>
      <w:r w:rsidRPr="00C96F1A">
        <w:rPr>
          <w:rFonts w:ascii="Arial" w:hAnsi="Arial" w:cs="Arial"/>
        </w:rPr>
        <w:t>The 2017–18 year has been a significant one for the Department of Housing and Public Works. Machinery-of-government changes following the Queensland State General Election in November 2017 broadened our focus considerably, with the addition of a range of new portfolio areas.</w:t>
      </w:r>
    </w:p>
    <w:p w:rsidR="0028598A" w:rsidRPr="00C96F1A" w:rsidRDefault="00B625AF" w:rsidP="00C96F1A">
      <w:pPr>
        <w:rPr>
          <w:rFonts w:ascii="Arial" w:hAnsi="Arial" w:cs="Arial"/>
        </w:rPr>
      </w:pPr>
      <w:r w:rsidRPr="00C96F1A">
        <w:rPr>
          <w:rFonts w:ascii="Arial" w:hAnsi="Arial" w:cs="Arial"/>
        </w:rPr>
        <w:t>Sport and Recreation Services from the former Department of National Parks, Sport and Racing as well as the Smart Service Queensland, Queensland State Archives, Strategic ICT, Queensland Shared Services and Queensland Government Chief Information Office functions from the former Department of Science, Information Technology and Innovation all joined the department.</w:t>
      </w:r>
    </w:p>
    <w:p w:rsidR="0028598A" w:rsidRPr="00C96F1A" w:rsidRDefault="00B625AF" w:rsidP="00C96F1A">
      <w:pPr>
        <w:rPr>
          <w:rFonts w:ascii="Arial" w:hAnsi="Arial" w:cs="Arial"/>
        </w:rPr>
      </w:pPr>
      <w:r w:rsidRPr="00C96F1A">
        <w:rPr>
          <w:rFonts w:ascii="Arial" w:hAnsi="Arial" w:cs="Arial"/>
        </w:rPr>
        <w:t>This Annual Report outlines the progress the department has made in contributing to the Government’s objectives throughout 2017</w:t>
      </w:r>
      <w:r w:rsidR="005F7F92">
        <w:rPr>
          <w:rFonts w:ascii="Arial" w:hAnsi="Arial" w:cs="Arial"/>
        </w:rPr>
        <w:t>–</w:t>
      </w:r>
      <w:r w:rsidRPr="00C96F1A">
        <w:rPr>
          <w:rFonts w:ascii="Arial" w:hAnsi="Arial" w:cs="Arial"/>
        </w:rPr>
        <w:t>18, while recognising the ongoing work, performance and dedication of over 5,000 Department of Housing and Public Works employees across the state.</w:t>
      </w:r>
    </w:p>
    <w:p w:rsidR="0028598A" w:rsidRPr="00C96F1A" w:rsidRDefault="00B625AF" w:rsidP="00C96F1A">
      <w:pPr>
        <w:rPr>
          <w:rFonts w:ascii="Arial" w:hAnsi="Arial" w:cs="Arial"/>
        </w:rPr>
      </w:pPr>
      <w:r w:rsidRPr="00C96F1A">
        <w:rPr>
          <w:rFonts w:ascii="Arial" w:hAnsi="Arial" w:cs="Arial"/>
        </w:rPr>
        <w:t>The functions gained through the machinery-of-government changes provide great opportunities for our department to better benefit Queenslanders. We have aligned our diverse divisions</w:t>
      </w:r>
      <w:r w:rsidR="00762108">
        <w:rPr>
          <w:rFonts w:ascii="Arial" w:hAnsi="Arial" w:cs="Arial"/>
        </w:rPr>
        <w:t xml:space="preserve"> </w:t>
      </w:r>
      <w:r w:rsidRPr="00C96F1A">
        <w:rPr>
          <w:rFonts w:ascii="Arial" w:hAnsi="Arial" w:cs="Arial"/>
        </w:rPr>
        <w:t>to support government service delivery in areas of housing and homelessness, building policy, public works, sport and recreation, digital and information technology and government corporate services.</w:t>
      </w:r>
    </w:p>
    <w:p w:rsidR="0028598A" w:rsidRPr="00C96F1A" w:rsidRDefault="00B625AF" w:rsidP="00C96F1A">
      <w:pPr>
        <w:rPr>
          <w:rFonts w:ascii="Arial" w:hAnsi="Arial" w:cs="Arial"/>
        </w:rPr>
      </w:pPr>
      <w:r w:rsidRPr="00C96F1A">
        <w:rPr>
          <w:rFonts w:ascii="Arial" w:hAnsi="Arial" w:cs="Arial"/>
        </w:rPr>
        <w:t xml:space="preserve">We have continued to implement initiatives and programs linked to the </w:t>
      </w:r>
      <w:r w:rsidRPr="008D4D49">
        <w:rPr>
          <w:rFonts w:ascii="Arial" w:hAnsi="Arial" w:cs="Arial"/>
          <w:i/>
        </w:rPr>
        <w:t>Queensland Housing Strategy 2017</w:t>
      </w:r>
      <w:r w:rsidR="005F7F92" w:rsidRPr="008D4D49">
        <w:rPr>
          <w:rFonts w:ascii="Arial" w:hAnsi="Arial" w:cs="Arial"/>
          <w:i/>
        </w:rPr>
        <w:t>–</w:t>
      </w:r>
      <w:r w:rsidRPr="008D4D49">
        <w:rPr>
          <w:rFonts w:ascii="Arial" w:hAnsi="Arial" w:cs="Arial"/>
          <w:i/>
        </w:rPr>
        <w:t>27</w:t>
      </w:r>
      <w:r w:rsidRPr="00C96F1A">
        <w:rPr>
          <w:rFonts w:ascii="Arial" w:hAnsi="Arial" w:cs="Arial"/>
        </w:rPr>
        <w:t xml:space="preserve">, including exceeding our targets in the delivery of additional social and affordable housing through the </w:t>
      </w:r>
      <w:r w:rsidRPr="008D4D49">
        <w:rPr>
          <w:rFonts w:ascii="Arial" w:hAnsi="Arial" w:cs="Arial"/>
          <w:i/>
        </w:rPr>
        <w:t>Housing Construction Jobs</w:t>
      </w:r>
      <w:r w:rsidR="00762108" w:rsidRPr="008D4D49">
        <w:rPr>
          <w:rFonts w:ascii="Arial" w:hAnsi="Arial" w:cs="Arial"/>
          <w:i/>
        </w:rPr>
        <w:t xml:space="preserve"> </w:t>
      </w:r>
      <w:r w:rsidRPr="008D4D49">
        <w:rPr>
          <w:rFonts w:ascii="Arial" w:hAnsi="Arial" w:cs="Arial"/>
          <w:i/>
        </w:rPr>
        <w:t>Program</w:t>
      </w:r>
      <w:r w:rsidR="008D4D49">
        <w:rPr>
          <w:rFonts w:ascii="Arial" w:hAnsi="Arial" w:cs="Arial"/>
          <w:i/>
        </w:rPr>
        <w:t>.</w:t>
      </w:r>
      <w:r w:rsidRPr="00C96F1A">
        <w:rPr>
          <w:rFonts w:ascii="Arial" w:hAnsi="Arial" w:cs="Arial"/>
        </w:rPr>
        <w:t xml:space="preserve"> The program successfully encourages partnerships with private sector and community housing providers to deliver jobs, local economic growth and better community outcomes.</w:t>
      </w:r>
    </w:p>
    <w:p w:rsidR="0028598A" w:rsidRPr="00C96F1A" w:rsidRDefault="00B625AF" w:rsidP="00C96F1A">
      <w:pPr>
        <w:rPr>
          <w:rFonts w:ascii="Arial" w:hAnsi="Arial" w:cs="Arial"/>
        </w:rPr>
      </w:pPr>
      <w:r w:rsidRPr="00C96F1A">
        <w:rPr>
          <w:rFonts w:ascii="Arial" w:hAnsi="Arial" w:cs="Arial"/>
        </w:rPr>
        <w:t>Our people-centred approach to service delivery is supported by our focus on tenant engagement, as well as our delivery of social rental housing and private market supports. This approach was reflected through the innovative Fortitude Valley Housing Service Centre which was acknowledged at the Good Design Awards in May 2018 for its human-centred design.</w:t>
      </w:r>
    </w:p>
    <w:p w:rsidR="0028598A" w:rsidRPr="00C96F1A" w:rsidRDefault="00B625AF" w:rsidP="00C96F1A">
      <w:pPr>
        <w:rPr>
          <w:rFonts w:ascii="Arial" w:hAnsi="Arial" w:cs="Arial"/>
        </w:rPr>
      </w:pPr>
      <w:r w:rsidRPr="00C96F1A">
        <w:rPr>
          <w:rFonts w:ascii="Arial" w:hAnsi="Arial" w:cs="Arial"/>
        </w:rPr>
        <w:t>We continued our ongoing commitment to Aboriginal and Torres Strait Islander housing, successfully delivering over 1,000</w:t>
      </w:r>
      <w:r w:rsidR="00053C2E">
        <w:rPr>
          <w:rFonts w:ascii="Arial" w:hAnsi="Arial" w:cs="Arial"/>
        </w:rPr>
        <w:t xml:space="preserve"> </w:t>
      </w:r>
      <w:r w:rsidRPr="00C96F1A">
        <w:rPr>
          <w:rFonts w:ascii="Arial" w:hAnsi="Arial" w:cs="Arial"/>
        </w:rPr>
        <w:t>new houses, 1,490 refurbishments and maintenance of 4,380 properties under the National Partnership Agreement on Remote and Indigenous Housing. Through this work we achieved local employment and 80 per cent Aboriginal and Torres Islander business engagement, higher than any other state.</w:t>
      </w:r>
    </w:p>
    <w:p w:rsidR="0028598A" w:rsidRPr="00C96F1A" w:rsidRDefault="00B625AF" w:rsidP="00C96F1A">
      <w:pPr>
        <w:rPr>
          <w:rFonts w:ascii="Arial" w:hAnsi="Arial" w:cs="Arial"/>
        </w:rPr>
      </w:pPr>
      <w:r w:rsidRPr="00C96F1A">
        <w:rPr>
          <w:rFonts w:ascii="Arial" w:hAnsi="Arial" w:cs="Arial"/>
        </w:rPr>
        <w:t>Through participation in sport and active recreation we supported our communities in improving the health and well- being of Queenslanders. We have achieved this through the delivery of a variety of programs, including the delivery of over 40,000 Get Started Vouchers to children and young people and promoting various campaigns, such as Join the Movement</w:t>
      </w:r>
      <w:r w:rsidR="008D4D49">
        <w:rPr>
          <w:rFonts w:ascii="Arial" w:hAnsi="Arial" w:cs="Arial"/>
        </w:rPr>
        <w:t>.</w:t>
      </w:r>
    </w:p>
    <w:p w:rsidR="0028598A" w:rsidRPr="00C96F1A" w:rsidRDefault="00B625AF" w:rsidP="00C96F1A">
      <w:pPr>
        <w:rPr>
          <w:rFonts w:ascii="Arial" w:hAnsi="Arial" w:cs="Arial"/>
        </w:rPr>
      </w:pPr>
      <w:r w:rsidRPr="00C96F1A">
        <w:rPr>
          <w:rFonts w:ascii="Arial" w:hAnsi="Arial" w:cs="Arial"/>
        </w:rPr>
        <w:t>Targeted infrastructure projects under the Female Facilities Program were also supported by the department to encourage greater female participation, as well as investment in remote communities through the Remote Facilities Maintenance Program.</w:t>
      </w:r>
    </w:p>
    <w:p w:rsidR="0028598A" w:rsidRPr="00C96F1A" w:rsidRDefault="00B625AF" w:rsidP="00C96F1A">
      <w:pPr>
        <w:rPr>
          <w:rFonts w:ascii="Arial" w:hAnsi="Arial" w:cs="Arial"/>
        </w:rPr>
      </w:pPr>
      <w:r w:rsidRPr="00C96F1A">
        <w:rPr>
          <w:rFonts w:ascii="Arial" w:hAnsi="Arial" w:cs="Arial"/>
        </w:rPr>
        <w:t>In 2017</w:t>
      </w:r>
      <w:r w:rsidR="005F7F92">
        <w:rPr>
          <w:rFonts w:ascii="Arial" w:hAnsi="Arial" w:cs="Arial"/>
        </w:rPr>
        <w:t>–</w:t>
      </w:r>
      <w:r w:rsidRPr="00C96F1A">
        <w:rPr>
          <w:rFonts w:ascii="Arial" w:hAnsi="Arial" w:cs="Arial"/>
        </w:rPr>
        <w:t xml:space="preserve">18 we set the Government’s long-term strategic direction to deliver a safer, fairer, more sustainable building and construction industry through the release of the </w:t>
      </w:r>
      <w:r w:rsidRPr="008D4D49">
        <w:rPr>
          <w:rFonts w:ascii="Arial" w:hAnsi="Arial" w:cs="Arial"/>
          <w:i/>
        </w:rPr>
        <w:t>Queensland Building Plan</w:t>
      </w:r>
      <w:r w:rsidRPr="00C96F1A">
        <w:rPr>
          <w:rFonts w:ascii="Arial" w:hAnsi="Arial" w:cs="Arial"/>
        </w:rPr>
        <w:t xml:space="preserve"> in October 2017.</w:t>
      </w:r>
    </w:p>
    <w:p w:rsidR="0028598A" w:rsidRPr="00C96F1A" w:rsidRDefault="00B625AF" w:rsidP="00C96F1A">
      <w:pPr>
        <w:rPr>
          <w:rFonts w:ascii="Arial" w:hAnsi="Arial" w:cs="Arial"/>
        </w:rPr>
      </w:pPr>
      <w:r w:rsidRPr="00C96F1A">
        <w:rPr>
          <w:rFonts w:ascii="Arial" w:hAnsi="Arial" w:cs="Arial"/>
        </w:rPr>
        <w:t xml:space="preserve">A number of key reforms were advanced, including the introduction of the </w:t>
      </w:r>
      <w:r w:rsidRPr="008D4D49">
        <w:rPr>
          <w:rFonts w:ascii="Arial" w:hAnsi="Arial" w:cs="Arial"/>
          <w:i/>
        </w:rPr>
        <w:t>Plumbing and Drainage Bill 2018</w:t>
      </w:r>
      <w:r w:rsidRPr="00C96F1A">
        <w:rPr>
          <w:rFonts w:ascii="Arial" w:hAnsi="Arial" w:cs="Arial"/>
        </w:rPr>
        <w:t xml:space="preserve">, enactment of the </w:t>
      </w:r>
      <w:r w:rsidRPr="008D4D49">
        <w:rPr>
          <w:rFonts w:ascii="Arial" w:hAnsi="Arial" w:cs="Arial"/>
          <w:i/>
        </w:rPr>
        <w:t>Security of Payment Act 2017</w:t>
      </w:r>
      <w:r w:rsidRPr="00C96F1A">
        <w:rPr>
          <w:rFonts w:ascii="Arial" w:hAnsi="Arial" w:cs="Arial"/>
        </w:rPr>
        <w:t xml:space="preserve"> and introduction of Project Bank Accounts. Public safety drove significant pieces of work throughout the year including our department’s comprehensive response to the issue of combustible cladding through the Non- Conforming Building Products Audit Taskforce.</w:t>
      </w:r>
    </w:p>
    <w:p w:rsidR="0028598A" w:rsidRPr="00C96F1A" w:rsidRDefault="00B625AF" w:rsidP="00C96F1A">
      <w:pPr>
        <w:rPr>
          <w:rFonts w:ascii="Arial" w:hAnsi="Arial" w:cs="Arial"/>
        </w:rPr>
      </w:pPr>
      <w:r w:rsidRPr="00C96F1A">
        <w:rPr>
          <w:rFonts w:ascii="Arial" w:hAnsi="Arial" w:cs="Arial"/>
        </w:rPr>
        <w:t>Our leadership and innovation in the provision of services to government and industry also demonstrated our commitment to making business easier for our customers. We led and supported strategic and innovative procurement throughout the year, linking with industry, business and government sectors, and ensuring support for regions through the Buy Queensland approach.</w:t>
      </w:r>
    </w:p>
    <w:p w:rsidR="0028598A" w:rsidRPr="00C96F1A" w:rsidRDefault="00B625AF" w:rsidP="00C96F1A">
      <w:pPr>
        <w:rPr>
          <w:rFonts w:ascii="Arial" w:hAnsi="Arial" w:cs="Arial"/>
        </w:rPr>
      </w:pPr>
      <w:r w:rsidRPr="00C96F1A">
        <w:rPr>
          <w:rFonts w:ascii="Arial" w:hAnsi="Arial" w:cs="Arial"/>
        </w:rPr>
        <w:lastRenderedPageBreak/>
        <w:t>Commencing 1 September 2017, the Government ensured that all Queensland Government procurement delivered benefits to Queensland</w:t>
      </w:r>
      <w:r w:rsidR="005F7F92">
        <w:rPr>
          <w:rFonts w:ascii="Arial" w:hAnsi="Arial" w:cs="Arial"/>
        </w:rPr>
        <w:t>,</w:t>
      </w:r>
      <w:r w:rsidRPr="00C96F1A">
        <w:rPr>
          <w:rFonts w:ascii="Arial" w:hAnsi="Arial" w:cs="Arial"/>
        </w:rPr>
        <w:t xml:space="preserve"> including a focus on employment opportunities for local businesses, boosting Aboriginal and Torres </w:t>
      </w:r>
      <w:r w:rsidR="005F7F92">
        <w:rPr>
          <w:rFonts w:ascii="Arial" w:hAnsi="Arial" w:cs="Arial"/>
        </w:rPr>
        <w:t xml:space="preserve">Strait </w:t>
      </w:r>
      <w:r w:rsidRPr="00C96F1A">
        <w:rPr>
          <w:rFonts w:ascii="Arial" w:hAnsi="Arial" w:cs="Arial"/>
        </w:rPr>
        <w:t>Islander employment, engaging apprentices and increasing the use of social enterprises.</w:t>
      </w:r>
    </w:p>
    <w:p w:rsidR="0028598A" w:rsidRPr="00C96F1A" w:rsidRDefault="00B625AF" w:rsidP="00C96F1A">
      <w:pPr>
        <w:rPr>
          <w:rFonts w:ascii="Arial" w:hAnsi="Arial" w:cs="Arial"/>
        </w:rPr>
      </w:pPr>
      <w:r w:rsidRPr="00C96F1A">
        <w:rPr>
          <w:rFonts w:ascii="Arial" w:hAnsi="Arial" w:cs="Arial"/>
        </w:rPr>
        <w:t>Our diverse agenda of priorities is underpinned by the performance and commitment of our people. This unified commitment was particularly evident during this year’s 2018 Gold Coast Commonwealth Games event, which saw our housing, building, sport and recreation and cyber security teams working closely together to contribute to the event’s successful running.</w:t>
      </w:r>
    </w:p>
    <w:p w:rsidR="0028598A" w:rsidRPr="00C96F1A" w:rsidRDefault="00B625AF" w:rsidP="00C96F1A">
      <w:pPr>
        <w:rPr>
          <w:rFonts w:ascii="Arial" w:hAnsi="Arial" w:cs="Arial"/>
        </w:rPr>
      </w:pPr>
      <w:r w:rsidRPr="00C96F1A">
        <w:rPr>
          <w:rFonts w:ascii="Arial" w:hAnsi="Arial" w:cs="Arial"/>
        </w:rPr>
        <w:t>We continue to build our people through investment in learning and training opportunities for staff, including offerings such as Managing for Results, Taking the Lead and the Emerging Leaders Program to help develop current and future leaders of the department.</w:t>
      </w:r>
    </w:p>
    <w:p w:rsidR="0028598A" w:rsidRPr="00C96F1A" w:rsidRDefault="00B625AF" w:rsidP="00C96F1A">
      <w:pPr>
        <w:rPr>
          <w:rFonts w:ascii="Arial" w:hAnsi="Arial" w:cs="Arial"/>
        </w:rPr>
      </w:pPr>
      <w:r w:rsidRPr="00C96F1A">
        <w:rPr>
          <w:rFonts w:ascii="Arial" w:hAnsi="Arial" w:cs="Arial"/>
        </w:rPr>
        <w:t>Flexible work arrangements were strengthened by the opening of additional Distributed Work Centres providing opportunities for regional staff to work closer to home. Our health and safety commitments to our staff and customers were supported by</w:t>
      </w:r>
      <w:r w:rsidR="00E65918">
        <w:rPr>
          <w:rFonts w:ascii="Arial" w:hAnsi="Arial" w:cs="Arial"/>
        </w:rPr>
        <w:t xml:space="preserve"> </w:t>
      </w:r>
      <w:r w:rsidRPr="00C96F1A">
        <w:rPr>
          <w:rFonts w:ascii="Arial" w:hAnsi="Arial" w:cs="Arial"/>
        </w:rPr>
        <w:t>initiatives such as online safety inductions for Building and Asset</w:t>
      </w:r>
      <w:r w:rsidR="00E65918">
        <w:rPr>
          <w:rFonts w:ascii="Arial" w:hAnsi="Arial" w:cs="Arial"/>
        </w:rPr>
        <w:t xml:space="preserve"> </w:t>
      </w:r>
      <w:r w:rsidRPr="00C96F1A">
        <w:rPr>
          <w:rFonts w:ascii="Arial" w:hAnsi="Arial" w:cs="Arial"/>
        </w:rPr>
        <w:t>Services contractors, domestic and family violence awareness</w:t>
      </w:r>
      <w:r w:rsidR="00053C2E">
        <w:rPr>
          <w:rFonts w:ascii="Arial" w:hAnsi="Arial" w:cs="Arial"/>
        </w:rPr>
        <w:t xml:space="preserve"> </w:t>
      </w:r>
      <w:r w:rsidRPr="00C96F1A">
        <w:rPr>
          <w:rFonts w:ascii="Arial" w:hAnsi="Arial" w:cs="Arial"/>
        </w:rPr>
        <w:t>training, skin cancer checks and flu vaccinations.</w:t>
      </w:r>
    </w:p>
    <w:p w:rsidR="0028598A" w:rsidRPr="00C96F1A" w:rsidRDefault="00B625AF" w:rsidP="00C96F1A">
      <w:pPr>
        <w:rPr>
          <w:rFonts w:ascii="Arial" w:hAnsi="Arial" w:cs="Arial"/>
        </w:rPr>
      </w:pPr>
      <w:r w:rsidRPr="00C96F1A">
        <w:rPr>
          <w:rFonts w:ascii="Arial" w:hAnsi="Arial" w:cs="Arial"/>
        </w:rPr>
        <w:t>The scope of our expertise and breadth of our services are</w:t>
      </w:r>
      <w:r w:rsidR="00053C2E">
        <w:rPr>
          <w:rFonts w:ascii="Arial" w:hAnsi="Arial" w:cs="Arial"/>
        </w:rPr>
        <w:t xml:space="preserve"> </w:t>
      </w:r>
      <w:r w:rsidRPr="00C96F1A">
        <w:rPr>
          <w:rFonts w:ascii="Arial" w:hAnsi="Arial" w:cs="Arial"/>
        </w:rPr>
        <w:t>reflected in the pages of this report.</w:t>
      </w:r>
    </w:p>
    <w:p w:rsidR="0028598A" w:rsidRPr="00C96F1A" w:rsidRDefault="00B625AF" w:rsidP="00C96F1A">
      <w:pPr>
        <w:rPr>
          <w:rFonts w:ascii="Arial" w:hAnsi="Arial" w:cs="Arial"/>
        </w:rPr>
      </w:pPr>
      <w:r w:rsidRPr="00C96F1A">
        <w:rPr>
          <w:rFonts w:ascii="Arial" w:hAnsi="Arial" w:cs="Arial"/>
        </w:rPr>
        <w:t>By playing to our strengths and building collaborative and creative relationships with agencies and communities, we are well placed to deliver on our exciting future program of work.</w:t>
      </w:r>
    </w:p>
    <w:p w:rsidR="0028598A" w:rsidRPr="00C96F1A" w:rsidRDefault="00B625AF" w:rsidP="00C96F1A">
      <w:pPr>
        <w:rPr>
          <w:rFonts w:ascii="Arial" w:hAnsi="Arial" w:cs="Arial"/>
        </w:rPr>
      </w:pPr>
      <w:r w:rsidRPr="00C96F1A">
        <w:rPr>
          <w:rFonts w:ascii="Arial" w:hAnsi="Arial" w:cs="Arial"/>
        </w:rPr>
        <w:t>I would like to thank my leadership team for their support and commitment, as well as the motivated, talented, and dedicated staff of the department who make a difference to Queenslanders through their work, every day.</w:t>
      </w:r>
    </w:p>
    <w:p w:rsidR="0028598A" w:rsidRPr="00C96F1A" w:rsidRDefault="0028598A" w:rsidP="00C96F1A">
      <w:pPr>
        <w:rPr>
          <w:rFonts w:ascii="Arial" w:hAnsi="Arial" w:cs="Arial"/>
        </w:rPr>
      </w:pPr>
    </w:p>
    <w:p w:rsidR="00053C2E" w:rsidRDefault="00B625AF" w:rsidP="00C96F1A">
      <w:pPr>
        <w:rPr>
          <w:rFonts w:ascii="Arial" w:hAnsi="Arial" w:cs="Arial"/>
        </w:rPr>
      </w:pPr>
      <w:r w:rsidRPr="00C96F1A">
        <w:rPr>
          <w:rFonts w:ascii="Arial" w:hAnsi="Arial" w:cs="Arial"/>
        </w:rPr>
        <w:t xml:space="preserve">Liza Carroll </w:t>
      </w:r>
    </w:p>
    <w:p w:rsidR="0028598A" w:rsidRPr="00053C2E" w:rsidRDefault="00B625AF" w:rsidP="00C96F1A">
      <w:pPr>
        <w:rPr>
          <w:rFonts w:ascii="Arial" w:hAnsi="Arial" w:cs="Arial"/>
          <w:b/>
        </w:rPr>
      </w:pPr>
      <w:r w:rsidRPr="00053C2E">
        <w:rPr>
          <w:rFonts w:ascii="Arial" w:hAnsi="Arial" w:cs="Arial"/>
          <w:b/>
        </w:rPr>
        <w:t>Director-General</w:t>
      </w:r>
    </w:p>
    <w:p w:rsidR="0028598A" w:rsidRPr="00C96F1A" w:rsidRDefault="0028598A" w:rsidP="00C96F1A">
      <w:pPr>
        <w:rPr>
          <w:rFonts w:ascii="Arial" w:hAnsi="Arial" w:cs="Arial"/>
        </w:rPr>
        <w:sectPr w:rsidR="0028598A" w:rsidRPr="00C96F1A" w:rsidSect="00C96F1A">
          <w:type w:val="continuous"/>
          <w:pgSz w:w="11910" w:h="16840"/>
          <w:pgMar w:top="1440" w:right="1080" w:bottom="1440" w:left="1080" w:header="720" w:footer="720" w:gutter="0"/>
          <w:cols w:space="720"/>
        </w:sectPr>
      </w:pPr>
    </w:p>
    <w:p w:rsidR="0028598A" w:rsidRPr="00734ED6" w:rsidRDefault="00B625AF" w:rsidP="00734ED6">
      <w:pPr>
        <w:pStyle w:val="Heading1"/>
      </w:pPr>
      <w:bookmarkStart w:id="12" w:name="_Toc528845953"/>
      <w:bookmarkStart w:id="13" w:name="OUR_DEPARTMENT"/>
      <w:r w:rsidRPr="00734ED6">
        <w:lastRenderedPageBreak/>
        <w:t>Our department</w:t>
      </w:r>
      <w:bookmarkEnd w:id="12"/>
    </w:p>
    <w:bookmarkEnd w:id="13"/>
    <w:p w:rsidR="0028598A" w:rsidRPr="00C96F1A" w:rsidRDefault="00B625AF" w:rsidP="006F0CE5">
      <w:pPr>
        <w:pStyle w:val="Heading3"/>
      </w:pPr>
      <w:r w:rsidRPr="00C96F1A">
        <w:t>Our vision</w:t>
      </w:r>
    </w:p>
    <w:p w:rsidR="0028598A" w:rsidRPr="00C96F1A" w:rsidRDefault="00B625AF" w:rsidP="00C96F1A">
      <w:pPr>
        <w:rPr>
          <w:rFonts w:ascii="Arial" w:hAnsi="Arial" w:cs="Arial"/>
        </w:rPr>
      </w:pPr>
      <w:r w:rsidRPr="00C96F1A">
        <w:rPr>
          <w:rFonts w:ascii="Arial" w:hAnsi="Arial" w:cs="Arial"/>
        </w:rPr>
        <w:t>Working together to make a difference to Queenslanders by building better, safer places to live and work.</w:t>
      </w:r>
    </w:p>
    <w:p w:rsidR="0028598A" w:rsidRPr="00C96F1A" w:rsidRDefault="00B625AF" w:rsidP="00C96F1A">
      <w:pPr>
        <w:rPr>
          <w:rFonts w:ascii="Arial" w:hAnsi="Arial" w:cs="Arial"/>
        </w:rPr>
      </w:pPr>
      <w:r w:rsidRPr="00C96F1A">
        <w:rPr>
          <w:rFonts w:ascii="Arial" w:hAnsi="Arial" w:cs="Arial"/>
        </w:rPr>
        <w:t>As a result of machinery-of-government changes we have developed a new vision to reflect our department into the future. This vision will appear in the 2018–22 Strategic Plan.</w:t>
      </w:r>
    </w:p>
    <w:p w:rsidR="0028598A" w:rsidRPr="006F0CE5" w:rsidRDefault="00B625AF" w:rsidP="00C96F1A">
      <w:pPr>
        <w:rPr>
          <w:rFonts w:ascii="Arial" w:hAnsi="Arial" w:cs="Arial"/>
          <w:i/>
        </w:rPr>
      </w:pPr>
      <w:r w:rsidRPr="006F0CE5">
        <w:rPr>
          <w:rFonts w:ascii="Arial" w:hAnsi="Arial" w:cs="Arial"/>
          <w:i/>
        </w:rPr>
        <w:t>Working together with respect and compassion to influence change and deliver responsive services that build a healthy and connected Queensland.</w:t>
      </w:r>
    </w:p>
    <w:p w:rsidR="0028598A" w:rsidRPr="00C96F1A" w:rsidRDefault="00B625AF" w:rsidP="006F0CE5">
      <w:pPr>
        <w:pStyle w:val="Heading3"/>
      </w:pPr>
      <w:r w:rsidRPr="00C96F1A">
        <w:t>Our purpose</w:t>
      </w:r>
    </w:p>
    <w:p w:rsidR="0028598A" w:rsidRPr="00C96F1A" w:rsidRDefault="00B625AF" w:rsidP="00C96F1A">
      <w:pPr>
        <w:rPr>
          <w:rFonts w:ascii="Arial" w:hAnsi="Arial" w:cs="Arial"/>
        </w:rPr>
      </w:pPr>
      <w:r w:rsidRPr="00C96F1A">
        <w:rPr>
          <w:rFonts w:ascii="Arial" w:hAnsi="Arial" w:cs="Arial"/>
        </w:rPr>
        <w:t>The Department of Housing and Public Works supports Queensland’s economic wellbeing and contributes to improving quality of life for people and communities.</w:t>
      </w:r>
    </w:p>
    <w:p w:rsidR="0028598A" w:rsidRPr="00C96F1A" w:rsidRDefault="00B625AF" w:rsidP="00C96F1A">
      <w:pPr>
        <w:rPr>
          <w:rFonts w:ascii="Arial" w:hAnsi="Arial" w:cs="Arial"/>
        </w:rPr>
      </w:pPr>
      <w:r w:rsidRPr="00C96F1A">
        <w:rPr>
          <w:rFonts w:ascii="Arial" w:hAnsi="Arial" w:cs="Arial"/>
        </w:rPr>
        <w:t>We seek to balance social outcomes with business and economic outcomes. The department delivers a diverse range of services to Queenslanders in the areas of housing and homelessness, building policy, public works, fleet and asset management, procurement, sport and recreation, digital and information technology and government corporate services.</w:t>
      </w:r>
    </w:p>
    <w:p w:rsidR="0028598A" w:rsidRPr="00C96F1A" w:rsidRDefault="00B625AF" w:rsidP="00C96F1A">
      <w:pPr>
        <w:rPr>
          <w:rFonts w:ascii="Arial" w:hAnsi="Arial" w:cs="Arial"/>
        </w:rPr>
      </w:pPr>
      <w:r w:rsidRPr="00C96F1A">
        <w:rPr>
          <w:rFonts w:ascii="Arial" w:hAnsi="Arial" w:cs="Arial"/>
        </w:rPr>
        <w:t>We are also committed to achieving better outcomes for Aboriginal</w:t>
      </w:r>
      <w:r w:rsidR="005F7F92">
        <w:rPr>
          <w:rFonts w:ascii="Arial" w:hAnsi="Arial" w:cs="Arial"/>
        </w:rPr>
        <w:t xml:space="preserve"> peoples</w:t>
      </w:r>
      <w:r w:rsidRPr="00C96F1A">
        <w:rPr>
          <w:rFonts w:ascii="Arial" w:hAnsi="Arial" w:cs="Arial"/>
        </w:rPr>
        <w:t xml:space="preserve"> and Torres Strait Islander </w:t>
      </w:r>
      <w:r w:rsidR="005F7F92">
        <w:rPr>
          <w:rFonts w:ascii="Arial" w:hAnsi="Arial" w:cs="Arial"/>
        </w:rPr>
        <w:t>p</w:t>
      </w:r>
      <w:r w:rsidRPr="00C96F1A">
        <w:rPr>
          <w:rFonts w:ascii="Arial" w:hAnsi="Arial" w:cs="Arial"/>
        </w:rPr>
        <w:t>eoples and their communities. Our diversity of services is our challenge as well as our strength.</w:t>
      </w:r>
    </w:p>
    <w:p w:rsidR="0028598A" w:rsidRPr="00C96F1A" w:rsidRDefault="00B625AF" w:rsidP="00C96F1A">
      <w:pPr>
        <w:rPr>
          <w:rFonts w:ascii="Arial" w:hAnsi="Arial" w:cs="Arial"/>
        </w:rPr>
      </w:pPr>
      <w:r w:rsidRPr="00C96F1A">
        <w:rPr>
          <w:rFonts w:ascii="Arial" w:hAnsi="Arial" w:cs="Arial"/>
        </w:rPr>
        <w:t>The department provides significant support to the Queensland Government through the provision of briefing advice, analysis, policy services and the establishment</w:t>
      </w:r>
      <w:r w:rsidR="00B87568">
        <w:rPr>
          <w:rFonts w:ascii="Arial" w:hAnsi="Arial" w:cs="Arial"/>
        </w:rPr>
        <w:t xml:space="preserve"> </w:t>
      </w:r>
      <w:r w:rsidRPr="00C96F1A">
        <w:rPr>
          <w:rFonts w:ascii="Arial" w:hAnsi="Arial" w:cs="Arial"/>
        </w:rPr>
        <w:t>of processes to manage the implementation of the Government’s commitments. The department has been working collaboratively with the Government and stakeholders to implement these commitments.</w:t>
      </w:r>
    </w:p>
    <w:p w:rsidR="0028598A" w:rsidRPr="00C96F1A" w:rsidRDefault="00B625AF" w:rsidP="00C96F1A">
      <w:pPr>
        <w:rPr>
          <w:rFonts w:ascii="Arial" w:hAnsi="Arial" w:cs="Arial"/>
        </w:rPr>
      </w:pPr>
      <w:r w:rsidRPr="00C96F1A">
        <w:rPr>
          <w:rFonts w:ascii="Arial" w:hAnsi="Arial" w:cs="Arial"/>
        </w:rPr>
        <w:t xml:space="preserve">We contribute to the Queensland </w:t>
      </w:r>
      <w:bookmarkStart w:id="14" w:name="GOVERNMENT_OBJECTIVES"/>
      <w:r w:rsidRPr="00C96F1A">
        <w:rPr>
          <w:rFonts w:ascii="Arial" w:hAnsi="Arial" w:cs="Arial"/>
        </w:rPr>
        <w:t xml:space="preserve">Government’s objectives </w:t>
      </w:r>
      <w:bookmarkEnd w:id="14"/>
      <w:r w:rsidRPr="00C96F1A">
        <w:rPr>
          <w:rFonts w:ascii="Arial" w:hAnsi="Arial" w:cs="Arial"/>
        </w:rPr>
        <w:t>by:</w:t>
      </w:r>
    </w:p>
    <w:p w:rsidR="0028598A" w:rsidRPr="006F0CE5" w:rsidRDefault="00B625AF" w:rsidP="00CF1728">
      <w:pPr>
        <w:pStyle w:val="Heading6"/>
      </w:pPr>
      <w:r w:rsidRPr="006F0CE5">
        <w:t>Creating jobs and a diverse economy</w:t>
      </w:r>
    </w:p>
    <w:p w:rsidR="0028598A" w:rsidRPr="006F0CE5" w:rsidRDefault="00B625AF" w:rsidP="00D806AE">
      <w:pPr>
        <w:pStyle w:val="ListParagraph"/>
        <w:numPr>
          <w:ilvl w:val="0"/>
          <w:numId w:val="2"/>
        </w:numPr>
        <w:rPr>
          <w:rFonts w:ascii="Arial" w:hAnsi="Arial" w:cs="Arial"/>
        </w:rPr>
      </w:pPr>
      <w:r w:rsidRPr="006F0CE5">
        <w:rPr>
          <w:rFonts w:ascii="Arial" w:hAnsi="Arial" w:cs="Arial"/>
        </w:rPr>
        <w:t>promoting employment and economic participation and supporting economic growth through safe and fair building policy, innovative procurement and service delivery</w:t>
      </w:r>
    </w:p>
    <w:p w:rsidR="0028598A" w:rsidRPr="006F0CE5" w:rsidRDefault="00B625AF" w:rsidP="00D806AE">
      <w:pPr>
        <w:pStyle w:val="ListParagraph"/>
        <w:numPr>
          <w:ilvl w:val="0"/>
          <w:numId w:val="2"/>
        </w:numPr>
        <w:rPr>
          <w:rFonts w:ascii="Arial" w:hAnsi="Arial" w:cs="Arial"/>
        </w:rPr>
      </w:pPr>
      <w:r w:rsidRPr="006F0CE5">
        <w:rPr>
          <w:rFonts w:ascii="Arial" w:hAnsi="Arial" w:cs="Arial"/>
        </w:rPr>
        <w:t>driving innovation-led growth</w:t>
      </w:r>
    </w:p>
    <w:p w:rsidR="0028598A" w:rsidRPr="006F0CE5" w:rsidRDefault="00B625AF" w:rsidP="00D806AE">
      <w:pPr>
        <w:pStyle w:val="ListParagraph"/>
        <w:numPr>
          <w:ilvl w:val="0"/>
          <w:numId w:val="2"/>
        </w:numPr>
        <w:rPr>
          <w:rFonts w:ascii="Arial" w:hAnsi="Arial" w:cs="Arial"/>
        </w:rPr>
      </w:pPr>
      <w:r w:rsidRPr="006F0CE5">
        <w:rPr>
          <w:rFonts w:ascii="Arial" w:hAnsi="Arial" w:cs="Arial"/>
        </w:rPr>
        <w:t>investing in sport and active recreation</w:t>
      </w:r>
    </w:p>
    <w:p w:rsidR="0028598A" w:rsidRPr="006F0CE5" w:rsidRDefault="00B625AF" w:rsidP="00CF1728">
      <w:pPr>
        <w:pStyle w:val="Heading6"/>
      </w:pPr>
      <w:r w:rsidRPr="006F0CE5">
        <w:t>Delivering quality frontline services</w:t>
      </w:r>
    </w:p>
    <w:p w:rsidR="0028598A" w:rsidRPr="006F0CE5" w:rsidRDefault="00B625AF" w:rsidP="00D806AE">
      <w:pPr>
        <w:pStyle w:val="ListParagraph"/>
        <w:numPr>
          <w:ilvl w:val="0"/>
          <w:numId w:val="3"/>
        </w:numPr>
        <w:rPr>
          <w:rFonts w:ascii="Arial" w:hAnsi="Arial" w:cs="Arial"/>
        </w:rPr>
      </w:pPr>
      <w:r w:rsidRPr="006F0CE5">
        <w:rPr>
          <w:rFonts w:ascii="Arial" w:hAnsi="Arial" w:cs="Arial"/>
        </w:rPr>
        <w:t>providing responsive and integrated housing and homelessness services</w:t>
      </w:r>
    </w:p>
    <w:p w:rsidR="0028598A" w:rsidRPr="006F0CE5" w:rsidRDefault="00B625AF" w:rsidP="00D806AE">
      <w:pPr>
        <w:pStyle w:val="ListParagraph"/>
        <w:numPr>
          <w:ilvl w:val="0"/>
          <w:numId w:val="3"/>
        </w:numPr>
        <w:rPr>
          <w:rFonts w:ascii="Arial" w:hAnsi="Arial" w:cs="Arial"/>
        </w:rPr>
      </w:pPr>
      <w:r w:rsidRPr="006F0CE5">
        <w:rPr>
          <w:rFonts w:ascii="Arial" w:hAnsi="Arial" w:cs="Arial"/>
        </w:rPr>
        <w:t>working with agencies to put people at the centre of service design</w:t>
      </w:r>
    </w:p>
    <w:p w:rsidR="0028598A" w:rsidRPr="006F0CE5" w:rsidRDefault="00B625AF" w:rsidP="00D806AE">
      <w:pPr>
        <w:pStyle w:val="ListParagraph"/>
        <w:numPr>
          <w:ilvl w:val="0"/>
          <w:numId w:val="3"/>
        </w:numPr>
        <w:rPr>
          <w:rFonts w:ascii="Arial" w:hAnsi="Arial" w:cs="Arial"/>
        </w:rPr>
      </w:pPr>
      <w:r w:rsidRPr="006F0CE5">
        <w:rPr>
          <w:rFonts w:ascii="Arial" w:hAnsi="Arial" w:cs="Arial"/>
        </w:rPr>
        <w:t>providing programs, workshops and resources to encourage all Queenslanders to be more physically active</w:t>
      </w:r>
    </w:p>
    <w:p w:rsidR="0028598A" w:rsidRPr="006F0CE5" w:rsidRDefault="00B625AF" w:rsidP="00CF1728">
      <w:pPr>
        <w:pStyle w:val="Heading6"/>
      </w:pPr>
      <w:r w:rsidRPr="006F0CE5">
        <w:t>Protecting the environment</w:t>
      </w:r>
    </w:p>
    <w:p w:rsidR="0028598A" w:rsidRPr="008D4D49" w:rsidRDefault="00B625AF" w:rsidP="007A046A">
      <w:pPr>
        <w:pStyle w:val="ListParagraph"/>
        <w:numPr>
          <w:ilvl w:val="0"/>
          <w:numId w:val="4"/>
        </w:numPr>
        <w:rPr>
          <w:rFonts w:ascii="Arial" w:hAnsi="Arial" w:cs="Arial"/>
        </w:rPr>
      </w:pPr>
      <w:r w:rsidRPr="008D4D49">
        <w:rPr>
          <w:rFonts w:ascii="Arial" w:hAnsi="Arial" w:cs="Arial"/>
        </w:rPr>
        <w:t>delivering sustainable built infrastructure and fleet</w:t>
      </w:r>
      <w:r w:rsidR="008D4D49" w:rsidRPr="008D4D49">
        <w:rPr>
          <w:rFonts w:ascii="Arial" w:hAnsi="Arial" w:cs="Arial"/>
        </w:rPr>
        <w:t xml:space="preserve"> </w:t>
      </w:r>
      <w:r w:rsidRPr="008D4D49">
        <w:rPr>
          <w:rFonts w:ascii="Arial" w:hAnsi="Arial" w:cs="Arial"/>
        </w:rPr>
        <w:t>management</w:t>
      </w:r>
    </w:p>
    <w:p w:rsidR="0028598A" w:rsidRPr="006F0CE5" w:rsidRDefault="00B625AF" w:rsidP="00D806AE">
      <w:pPr>
        <w:pStyle w:val="ListParagraph"/>
        <w:numPr>
          <w:ilvl w:val="0"/>
          <w:numId w:val="4"/>
        </w:numPr>
        <w:rPr>
          <w:rFonts w:ascii="Arial" w:hAnsi="Arial" w:cs="Arial"/>
        </w:rPr>
      </w:pPr>
      <w:r w:rsidRPr="006F0CE5">
        <w:rPr>
          <w:rFonts w:ascii="Arial" w:hAnsi="Arial" w:cs="Arial"/>
        </w:rPr>
        <w:t>reducing and offsetting fleet carbon emissions</w:t>
      </w:r>
    </w:p>
    <w:p w:rsidR="00B07F32" w:rsidRDefault="00B07F32" w:rsidP="00CF1728">
      <w:pPr>
        <w:pStyle w:val="Heading6"/>
      </w:pPr>
      <w:r>
        <w:br w:type="page"/>
      </w:r>
    </w:p>
    <w:p w:rsidR="0028598A" w:rsidRPr="006F0CE5" w:rsidRDefault="00B625AF" w:rsidP="00CF1728">
      <w:pPr>
        <w:pStyle w:val="Heading6"/>
      </w:pPr>
      <w:r w:rsidRPr="006F0CE5">
        <w:lastRenderedPageBreak/>
        <w:t>Building safe, caring and connected communities</w:t>
      </w:r>
    </w:p>
    <w:p w:rsidR="0028598A" w:rsidRPr="006F0CE5" w:rsidRDefault="00B625AF" w:rsidP="00D806AE">
      <w:pPr>
        <w:pStyle w:val="ListParagraph"/>
        <w:numPr>
          <w:ilvl w:val="0"/>
          <w:numId w:val="5"/>
        </w:numPr>
        <w:rPr>
          <w:rFonts w:ascii="Arial" w:hAnsi="Arial" w:cs="Arial"/>
        </w:rPr>
      </w:pPr>
      <w:r w:rsidRPr="006F0CE5">
        <w:rPr>
          <w:rFonts w:ascii="Arial" w:hAnsi="Arial" w:cs="Arial"/>
        </w:rPr>
        <w:t>supporting regional development, and consulting with communities to inform our policies and service delivery</w:t>
      </w:r>
    </w:p>
    <w:p w:rsidR="0028598A" w:rsidRPr="006F0CE5" w:rsidRDefault="00B625AF" w:rsidP="00D806AE">
      <w:pPr>
        <w:pStyle w:val="ListParagraph"/>
        <w:numPr>
          <w:ilvl w:val="0"/>
          <w:numId w:val="5"/>
        </w:numPr>
        <w:rPr>
          <w:rFonts w:ascii="Arial" w:hAnsi="Arial" w:cs="Arial"/>
        </w:rPr>
      </w:pPr>
      <w:r w:rsidRPr="006F0CE5">
        <w:rPr>
          <w:rFonts w:ascii="Arial" w:hAnsi="Arial" w:cs="Arial"/>
        </w:rPr>
        <w:t>harnessing digital platforms</w:t>
      </w:r>
    </w:p>
    <w:p w:rsidR="0028598A" w:rsidRPr="006F0CE5" w:rsidRDefault="00B625AF" w:rsidP="00D806AE">
      <w:pPr>
        <w:pStyle w:val="ListParagraph"/>
        <w:numPr>
          <w:ilvl w:val="0"/>
          <w:numId w:val="5"/>
        </w:numPr>
        <w:rPr>
          <w:rFonts w:ascii="Arial" w:hAnsi="Arial" w:cs="Arial"/>
        </w:rPr>
      </w:pPr>
      <w:r w:rsidRPr="006F0CE5">
        <w:rPr>
          <w:rFonts w:ascii="Arial" w:hAnsi="Arial" w:cs="Arial"/>
        </w:rPr>
        <w:t>supporting and encouraging greater participation in physical activity through sport and active recreation</w:t>
      </w:r>
    </w:p>
    <w:p w:rsidR="0028598A" w:rsidRPr="006F0CE5" w:rsidRDefault="00B625AF" w:rsidP="00D806AE">
      <w:pPr>
        <w:pStyle w:val="ListParagraph"/>
        <w:numPr>
          <w:ilvl w:val="0"/>
          <w:numId w:val="5"/>
        </w:numPr>
        <w:rPr>
          <w:rFonts w:ascii="Arial" w:hAnsi="Arial" w:cs="Arial"/>
        </w:rPr>
      </w:pPr>
      <w:r w:rsidRPr="006F0CE5">
        <w:rPr>
          <w:rFonts w:ascii="Arial" w:hAnsi="Arial" w:cs="Arial"/>
        </w:rPr>
        <w:t>supporting sport and active recreation across all regions to enhance participation, particularly for children and young people, disadvantaged groups and women and girls</w:t>
      </w:r>
    </w:p>
    <w:p w:rsidR="0028598A" w:rsidRPr="006F0CE5" w:rsidRDefault="00B625AF" w:rsidP="00D806AE">
      <w:pPr>
        <w:pStyle w:val="ListParagraph"/>
        <w:numPr>
          <w:ilvl w:val="0"/>
          <w:numId w:val="5"/>
        </w:numPr>
        <w:rPr>
          <w:rFonts w:ascii="Arial" w:hAnsi="Arial" w:cs="Arial"/>
        </w:rPr>
      </w:pPr>
      <w:r w:rsidRPr="006F0CE5">
        <w:rPr>
          <w:rFonts w:ascii="Arial" w:hAnsi="Arial" w:cs="Arial"/>
        </w:rPr>
        <w:t>optimising the performance of elite athletes and rising stars through local, specialised coaching and training facilities.</w:t>
      </w:r>
    </w:p>
    <w:p w:rsidR="0028598A" w:rsidRPr="00C96F1A" w:rsidRDefault="00B625AF" w:rsidP="006F0CE5">
      <w:pPr>
        <w:pStyle w:val="Heading3"/>
      </w:pPr>
      <w:bookmarkStart w:id="15" w:name="OUR_OBJECTIVES"/>
      <w:r w:rsidRPr="00C96F1A">
        <w:t>Our objectives</w:t>
      </w:r>
    </w:p>
    <w:bookmarkEnd w:id="15"/>
    <w:p w:rsidR="0028598A" w:rsidRPr="00C96F1A" w:rsidRDefault="00B625AF" w:rsidP="00C96F1A">
      <w:pPr>
        <w:rPr>
          <w:rFonts w:ascii="Arial" w:hAnsi="Arial" w:cs="Arial"/>
        </w:rPr>
      </w:pPr>
      <w:r w:rsidRPr="00C96F1A">
        <w:rPr>
          <w:rFonts w:ascii="Arial" w:hAnsi="Arial" w:cs="Arial"/>
        </w:rPr>
        <w:t>Our vision is achieved through the department’s strategic objectives to enable:</w:t>
      </w:r>
    </w:p>
    <w:p w:rsidR="0028598A" w:rsidRPr="006F0CE5" w:rsidRDefault="00B625AF" w:rsidP="00D806AE">
      <w:pPr>
        <w:pStyle w:val="ListParagraph"/>
        <w:numPr>
          <w:ilvl w:val="0"/>
          <w:numId w:val="6"/>
        </w:numPr>
        <w:rPr>
          <w:rFonts w:ascii="Arial" w:hAnsi="Arial" w:cs="Arial"/>
        </w:rPr>
      </w:pPr>
      <w:r w:rsidRPr="006F0CE5">
        <w:rPr>
          <w:rFonts w:ascii="Arial" w:hAnsi="Arial" w:cs="Arial"/>
        </w:rPr>
        <w:t>better lives, greater opportunities for people and communities</w:t>
      </w:r>
    </w:p>
    <w:p w:rsidR="0028598A" w:rsidRPr="006F0CE5" w:rsidRDefault="00B625AF" w:rsidP="00D806AE">
      <w:pPr>
        <w:pStyle w:val="ListParagraph"/>
        <w:numPr>
          <w:ilvl w:val="0"/>
          <w:numId w:val="6"/>
        </w:numPr>
        <w:rPr>
          <w:rFonts w:ascii="Arial" w:hAnsi="Arial" w:cs="Arial"/>
        </w:rPr>
      </w:pPr>
      <w:r w:rsidRPr="006F0CE5">
        <w:rPr>
          <w:rFonts w:ascii="Arial" w:hAnsi="Arial" w:cs="Arial"/>
        </w:rPr>
        <w:t>safer and fairer industries and environmental sustainability</w:t>
      </w:r>
    </w:p>
    <w:p w:rsidR="0028598A" w:rsidRPr="006F0CE5" w:rsidRDefault="00B625AF" w:rsidP="00D806AE">
      <w:pPr>
        <w:pStyle w:val="ListParagraph"/>
        <w:numPr>
          <w:ilvl w:val="0"/>
          <w:numId w:val="6"/>
        </w:numPr>
        <w:rPr>
          <w:rFonts w:ascii="Arial" w:hAnsi="Arial" w:cs="Arial"/>
        </w:rPr>
      </w:pPr>
      <w:r w:rsidRPr="006F0CE5">
        <w:rPr>
          <w:rFonts w:ascii="Arial" w:hAnsi="Arial" w:cs="Arial"/>
        </w:rPr>
        <w:t>greater value and support for employment and economic opportunities</w:t>
      </w:r>
    </w:p>
    <w:p w:rsidR="0028598A" w:rsidRPr="006F0CE5" w:rsidRDefault="00B625AF" w:rsidP="00D806AE">
      <w:pPr>
        <w:pStyle w:val="ListParagraph"/>
        <w:numPr>
          <w:ilvl w:val="0"/>
          <w:numId w:val="6"/>
        </w:numPr>
        <w:rPr>
          <w:rFonts w:ascii="Arial" w:hAnsi="Arial" w:cs="Arial"/>
        </w:rPr>
      </w:pPr>
      <w:r w:rsidRPr="006F0CE5">
        <w:rPr>
          <w:rFonts w:ascii="Arial" w:hAnsi="Arial" w:cs="Arial"/>
        </w:rPr>
        <w:t>a collaborative, integrated, and agile organisation</w:t>
      </w:r>
    </w:p>
    <w:p w:rsidR="0028598A" w:rsidRPr="006F0CE5" w:rsidRDefault="00B625AF" w:rsidP="00D806AE">
      <w:pPr>
        <w:pStyle w:val="ListParagraph"/>
        <w:numPr>
          <w:ilvl w:val="0"/>
          <w:numId w:val="6"/>
        </w:numPr>
        <w:rPr>
          <w:rFonts w:ascii="Arial" w:hAnsi="Arial" w:cs="Arial"/>
        </w:rPr>
      </w:pPr>
      <w:r w:rsidRPr="006F0CE5">
        <w:rPr>
          <w:rFonts w:ascii="Arial" w:hAnsi="Arial" w:cs="Arial"/>
        </w:rPr>
        <w:t>our sport and recreation venues to provide contemporary, quality client experiences</w:t>
      </w:r>
    </w:p>
    <w:p w:rsidR="0028598A" w:rsidRPr="006F0CE5" w:rsidRDefault="00B625AF" w:rsidP="00D806AE">
      <w:pPr>
        <w:pStyle w:val="ListParagraph"/>
        <w:numPr>
          <w:ilvl w:val="0"/>
          <w:numId w:val="6"/>
        </w:numPr>
        <w:rPr>
          <w:rFonts w:ascii="Arial" w:hAnsi="Arial" w:cs="Arial"/>
        </w:rPr>
      </w:pPr>
      <w:r w:rsidRPr="006F0CE5">
        <w:rPr>
          <w:rFonts w:ascii="Arial" w:hAnsi="Arial" w:cs="Arial"/>
        </w:rPr>
        <w:t>simple and easy access to integrated Queensland Government services and ensuring the preservation of Queensland public records for the benefit of current and future generations</w:t>
      </w:r>
    </w:p>
    <w:p w:rsidR="0028598A" w:rsidRPr="006F0CE5" w:rsidRDefault="00B625AF" w:rsidP="00D806AE">
      <w:pPr>
        <w:pStyle w:val="ListParagraph"/>
        <w:numPr>
          <w:ilvl w:val="0"/>
          <w:numId w:val="6"/>
        </w:numPr>
        <w:rPr>
          <w:rFonts w:ascii="Arial" w:hAnsi="Arial" w:cs="Arial"/>
        </w:rPr>
      </w:pPr>
      <w:r w:rsidRPr="006F0CE5">
        <w:rPr>
          <w:rFonts w:ascii="Arial" w:hAnsi="Arial" w:cs="Arial"/>
        </w:rPr>
        <w:t>the delivery of information and communication technology (ICT) services and provision of advice across government and the ICT Industry and delivery of ICT infrastructure and information brokerage to support the delivery of frontline services.</w:t>
      </w:r>
    </w:p>
    <w:p w:rsidR="0028598A" w:rsidRPr="00C96F1A" w:rsidRDefault="00B625AF" w:rsidP="00C96F1A">
      <w:pPr>
        <w:rPr>
          <w:rFonts w:ascii="Arial" w:hAnsi="Arial" w:cs="Arial"/>
        </w:rPr>
      </w:pPr>
      <w:r w:rsidRPr="00C96F1A">
        <w:rPr>
          <w:rFonts w:ascii="Arial" w:hAnsi="Arial" w:cs="Arial"/>
        </w:rPr>
        <w:t xml:space="preserve">Underpinning these objectives is the department’s long-term vision to deliver key strategies including: a </w:t>
      </w:r>
      <w:r w:rsidRPr="006F0CE5">
        <w:rPr>
          <w:rFonts w:ascii="Arial" w:hAnsi="Arial" w:cs="Arial"/>
          <w:i/>
        </w:rPr>
        <w:t xml:space="preserve">Queensland Housing Strategy, a building strategy </w:t>
      </w:r>
      <w:r w:rsidRPr="006F0CE5">
        <w:rPr>
          <w:rFonts w:ascii="Arial" w:hAnsi="Arial" w:cs="Arial"/>
        </w:rPr>
        <w:t>(through the</w:t>
      </w:r>
      <w:r w:rsidRPr="006F0CE5">
        <w:rPr>
          <w:rFonts w:ascii="Arial" w:hAnsi="Arial" w:cs="Arial"/>
          <w:i/>
        </w:rPr>
        <w:t xml:space="preserve"> Queensland Building Plan</w:t>
      </w:r>
      <w:r w:rsidR="006F0CE5" w:rsidRPr="006F0CE5">
        <w:rPr>
          <w:rFonts w:ascii="Arial" w:hAnsi="Arial" w:cs="Arial"/>
        </w:rPr>
        <w:t>)</w:t>
      </w:r>
      <w:r w:rsidRPr="006F0CE5">
        <w:rPr>
          <w:rFonts w:ascii="Arial" w:hAnsi="Arial" w:cs="Arial"/>
        </w:rPr>
        <w:t xml:space="preserve"> and</w:t>
      </w:r>
      <w:r w:rsidR="005F7F92">
        <w:rPr>
          <w:rFonts w:ascii="Arial" w:hAnsi="Arial" w:cs="Arial"/>
        </w:rPr>
        <w:t xml:space="preserve"> the </w:t>
      </w:r>
      <w:r w:rsidRPr="006F0CE5">
        <w:rPr>
          <w:rFonts w:ascii="Arial" w:hAnsi="Arial" w:cs="Arial"/>
          <w:i/>
        </w:rPr>
        <w:t>Buy Queensland: Procurement Strategy</w:t>
      </w:r>
      <w:r w:rsidR="006F0CE5">
        <w:rPr>
          <w:rFonts w:ascii="Arial" w:hAnsi="Arial" w:cs="Arial"/>
          <w:i/>
        </w:rPr>
        <w:t>.</w:t>
      </w:r>
    </w:p>
    <w:p w:rsidR="0028598A" w:rsidRPr="00C96F1A" w:rsidRDefault="00B625AF" w:rsidP="00C96F1A">
      <w:pPr>
        <w:rPr>
          <w:rFonts w:ascii="Arial" w:hAnsi="Arial" w:cs="Arial"/>
        </w:rPr>
      </w:pPr>
      <w:r w:rsidRPr="00C96F1A">
        <w:rPr>
          <w:rFonts w:ascii="Arial" w:hAnsi="Arial" w:cs="Arial"/>
        </w:rPr>
        <w:t>As a result of machinery-of-government changes, the department launched a new strategic plan in July 2018.</w:t>
      </w:r>
    </w:p>
    <w:p w:rsidR="0028598A" w:rsidRPr="00C96F1A" w:rsidRDefault="00B625AF" w:rsidP="006F0CE5">
      <w:pPr>
        <w:pStyle w:val="Heading3"/>
      </w:pPr>
      <w:r w:rsidRPr="00C96F1A">
        <w:t xml:space="preserve">Our </w:t>
      </w:r>
      <w:bookmarkStart w:id="16" w:name="OPERATING_ENVIRONMENT"/>
      <w:r w:rsidRPr="00C96F1A">
        <w:t>operating environment</w:t>
      </w:r>
      <w:bookmarkEnd w:id="16"/>
    </w:p>
    <w:p w:rsidR="0028598A" w:rsidRPr="00C96F1A" w:rsidRDefault="00B625AF" w:rsidP="00C96F1A">
      <w:pPr>
        <w:rPr>
          <w:rFonts w:ascii="Arial" w:hAnsi="Arial" w:cs="Arial"/>
        </w:rPr>
      </w:pPr>
      <w:r w:rsidRPr="00C96F1A">
        <w:rPr>
          <w:rFonts w:ascii="Arial" w:hAnsi="Arial" w:cs="Arial"/>
        </w:rPr>
        <w:t>The department delivered its services in a complex and changing environment, including:</w:t>
      </w:r>
    </w:p>
    <w:p w:rsidR="0028598A" w:rsidRPr="006F0CE5" w:rsidRDefault="00B625AF" w:rsidP="00D806AE">
      <w:pPr>
        <w:pStyle w:val="ListParagraph"/>
        <w:numPr>
          <w:ilvl w:val="0"/>
          <w:numId w:val="7"/>
        </w:numPr>
        <w:rPr>
          <w:rFonts w:ascii="Arial" w:hAnsi="Arial" w:cs="Arial"/>
        </w:rPr>
      </w:pPr>
      <w:r w:rsidRPr="006F0CE5">
        <w:rPr>
          <w:rFonts w:ascii="Arial" w:hAnsi="Arial" w:cs="Arial"/>
        </w:rPr>
        <w:t>increased demand for affordable rental housing</w:t>
      </w:r>
    </w:p>
    <w:p w:rsidR="0028598A" w:rsidRPr="006F0CE5" w:rsidRDefault="00B625AF" w:rsidP="00D806AE">
      <w:pPr>
        <w:pStyle w:val="ListParagraph"/>
        <w:numPr>
          <w:ilvl w:val="0"/>
          <w:numId w:val="7"/>
        </w:numPr>
        <w:rPr>
          <w:rFonts w:ascii="Arial" w:hAnsi="Arial" w:cs="Arial"/>
        </w:rPr>
      </w:pPr>
      <w:r w:rsidRPr="006F0CE5">
        <w:rPr>
          <w:rFonts w:ascii="Arial" w:hAnsi="Arial" w:cs="Arial"/>
        </w:rPr>
        <w:t>increased complexity of client needs and a demand for holistic and person-centred services</w:t>
      </w:r>
    </w:p>
    <w:p w:rsidR="0028598A" w:rsidRPr="006F0CE5" w:rsidRDefault="00B625AF" w:rsidP="00D806AE">
      <w:pPr>
        <w:pStyle w:val="ListParagraph"/>
        <w:numPr>
          <w:ilvl w:val="0"/>
          <w:numId w:val="7"/>
        </w:numPr>
        <w:rPr>
          <w:rFonts w:ascii="Arial" w:hAnsi="Arial" w:cs="Arial"/>
        </w:rPr>
      </w:pPr>
      <w:r w:rsidRPr="006F0CE5">
        <w:rPr>
          <w:rFonts w:ascii="Arial" w:hAnsi="Arial" w:cs="Arial"/>
        </w:rPr>
        <w:t>a national focus on measures to address the health and safety risks posed by non-conforming building products and matters affecting the building construction sector</w:t>
      </w:r>
    </w:p>
    <w:p w:rsidR="0028598A" w:rsidRPr="006F0CE5" w:rsidRDefault="00B625AF" w:rsidP="00D806AE">
      <w:pPr>
        <w:pStyle w:val="ListParagraph"/>
        <w:numPr>
          <w:ilvl w:val="0"/>
          <w:numId w:val="7"/>
        </w:numPr>
        <w:rPr>
          <w:rFonts w:ascii="Arial" w:hAnsi="Arial" w:cs="Arial"/>
        </w:rPr>
      </w:pPr>
      <w:r w:rsidRPr="006F0CE5">
        <w:rPr>
          <w:rFonts w:ascii="Arial" w:hAnsi="Arial" w:cs="Arial"/>
        </w:rPr>
        <w:t>globalisation, digital transformation, new technologies and business strategies that are rapidly diversifying and reshaping markets, industries and communities</w:t>
      </w:r>
    </w:p>
    <w:p w:rsidR="0028598A" w:rsidRPr="006F0CE5" w:rsidRDefault="00B625AF" w:rsidP="00D806AE">
      <w:pPr>
        <w:pStyle w:val="ListParagraph"/>
        <w:numPr>
          <w:ilvl w:val="0"/>
          <w:numId w:val="7"/>
        </w:numPr>
        <w:rPr>
          <w:rFonts w:ascii="Arial" w:hAnsi="Arial" w:cs="Arial"/>
        </w:rPr>
      </w:pPr>
      <w:r w:rsidRPr="006F0CE5">
        <w:rPr>
          <w:rFonts w:ascii="Arial" w:hAnsi="Arial" w:cs="Arial"/>
        </w:rPr>
        <w:t>citizen demand for access to digitally-driven, personalised or predictive government services</w:t>
      </w:r>
    </w:p>
    <w:p w:rsidR="0028598A" w:rsidRPr="006F0CE5" w:rsidRDefault="00B625AF" w:rsidP="00D806AE">
      <w:pPr>
        <w:pStyle w:val="ListParagraph"/>
        <w:numPr>
          <w:ilvl w:val="0"/>
          <w:numId w:val="7"/>
        </w:numPr>
        <w:rPr>
          <w:rFonts w:ascii="Arial" w:hAnsi="Arial" w:cs="Arial"/>
        </w:rPr>
      </w:pPr>
      <w:r w:rsidRPr="006F0CE5">
        <w:rPr>
          <w:rFonts w:ascii="Arial" w:hAnsi="Arial" w:cs="Arial"/>
        </w:rPr>
        <w:t>the need for enhanced digital skills, connectivity and inclusion if Queensland is to flourish as a global innovation hub and people and businesses are to reach their potential</w:t>
      </w:r>
    </w:p>
    <w:p w:rsidR="0028598A" w:rsidRPr="006F0CE5" w:rsidRDefault="00B625AF" w:rsidP="00D806AE">
      <w:pPr>
        <w:pStyle w:val="ListParagraph"/>
        <w:numPr>
          <w:ilvl w:val="0"/>
          <w:numId w:val="7"/>
        </w:numPr>
        <w:rPr>
          <w:rFonts w:ascii="Arial" w:hAnsi="Arial" w:cs="Arial"/>
        </w:rPr>
      </w:pPr>
      <w:r w:rsidRPr="006F0CE5">
        <w:rPr>
          <w:rFonts w:ascii="Arial" w:hAnsi="Arial" w:cs="Arial"/>
        </w:rPr>
        <w:t>increased social, cultural and economic pressures that divert Queenslanders away from sport and active recreation services.</w:t>
      </w:r>
    </w:p>
    <w:p w:rsidR="0028598A" w:rsidRPr="00C96F1A" w:rsidRDefault="00B625AF" w:rsidP="006F0CE5">
      <w:pPr>
        <w:pStyle w:val="Heading3"/>
      </w:pPr>
      <w:r w:rsidRPr="00C96F1A">
        <w:lastRenderedPageBreak/>
        <w:t>Our opportunities and challenges</w:t>
      </w:r>
    </w:p>
    <w:p w:rsidR="0028598A" w:rsidRPr="00C96F1A" w:rsidRDefault="00B625AF" w:rsidP="00C96F1A">
      <w:pPr>
        <w:rPr>
          <w:rFonts w:ascii="Arial" w:hAnsi="Arial" w:cs="Arial"/>
        </w:rPr>
      </w:pPr>
      <w:r w:rsidRPr="00C96F1A">
        <w:rPr>
          <w:rFonts w:ascii="Arial" w:hAnsi="Arial" w:cs="Arial"/>
        </w:rPr>
        <w:t>To ensure that we are well placed to address our opportunities and challenges in a changing environment we review and manage our risk management strategies on an ongoing basis.</w:t>
      </w:r>
    </w:p>
    <w:p w:rsidR="0028598A" w:rsidRPr="00C96F1A" w:rsidRDefault="00B625AF" w:rsidP="00C96F1A">
      <w:pPr>
        <w:rPr>
          <w:rFonts w:ascii="Arial" w:hAnsi="Arial" w:cs="Arial"/>
        </w:rPr>
      </w:pPr>
      <w:r w:rsidRPr="00C96F1A">
        <w:rPr>
          <w:rFonts w:ascii="Arial" w:hAnsi="Arial" w:cs="Arial"/>
        </w:rPr>
        <w:t>Our key risks relate to:</w:t>
      </w:r>
    </w:p>
    <w:p w:rsidR="0028598A" w:rsidRPr="006F0CE5" w:rsidRDefault="00B625AF" w:rsidP="00D806AE">
      <w:pPr>
        <w:pStyle w:val="ListParagraph"/>
        <w:numPr>
          <w:ilvl w:val="0"/>
          <w:numId w:val="8"/>
        </w:numPr>
        <w:rPr>
          <w:rFonts w:ascii="Arial" w:hAnsi="Arial" w:cs="Arial"/>
        </w:rPr>
      </w:pPr>
      <w:r w:rsidRPr="006F0CE5">
        <w:rPr>
          <w:rFonts w:ascii="Arial" w:hAnsi="Arial" w:cs="Arial"/>
          <w:b/>
        </w:rPr>
        <w:t xml:space="preserve">Services meeting client needs </w:t>
      </w:r>
      <w:r w:rsidRPr="006F0CE5">
        <w:rPr>
          <w:rFonts w:ascii="Arial" w:hAnsi="Arial" w:cs="Arial"/>
        </w:rPr>
        <w:t>– by strengthening our client engagement and monitoring our service delivery, we manage our ability to meet client needs and community expectations.</w:t>
      </w:r>
    </w:p>
    <w:p w:rsidR="0028598A" w:rsidRPr="006F0CE5" w:rsidRDefault="00B625AF" w:rsidP="00D806AE">
      <w:pPr>
        <w:pStyle w:val="ListParagraph"/>
        <w:numPr>
          <w:ilvl w:val="0"/>
          <w:numId w:val="8"/>
        </w:numPr>
        <w:rPr>
          <w:rFonts w:ascii="Arial" w:hAnsi="Arial" w:cs="Arial"/>
        </w:rPr>
      </w:pPr>
      <w:r w:rsidRPr="006F0CE5">
        <w:rPr>
          <w:rFonts w:ascii="Arial" w:hAnsi="Arial" w:cs="Arial"/>
          <w:b/>
        </w:rPr>
        <w:t>Business services and products addressing customer requirements</w:t>
      </w:r>
      <w:r w:rsidRPr="006F0CE5">
        <w:rPr>
          <w:rFonts w:ascii="Arial" w:hAnsi="Arial" w:cs="Arial"/>
        </w:rPr>
        <w:t xml:space="preserve"> – by developing market knowledge, staff capability and informed service design, we work to ensure our customers are satisfied and our business delivery is on target.</w:t>
      </w:r>
    </w:p>
    <w:p w:rsidR="0028598A" w:rsidRPr="006F0CE5" w:rsidRDefault="00B625AF" w:rsidP="00D806AE">
      <w:pPr>
        <w:pStyle w:val="ListParagraph"/>
        <w:numPr>
          <w:ilvl w:val="0"/>
          <w:numId w:val="8"/>
        </w:numPr>
        <w:rPr>
          <w:rFonts w:ascii="Arial" w:hAnsi="Arial" w:cs="Arial"/>
        </w:rPr>
      </w:pPr>
      <w:r w:rsidRPr="006F0CE5">
        <w:rPr>
          <w:rFonts w:ascii="Arial" w:hAnsi="Arial" w:cs="Arial"/>
          <w:b/>
        </w:rPr>
        <w:t>Aboriginal and Torres Strait Islander outcomes</w:t>
      </w:r>
      <w:r w:rsidRPr="006F0CE5">
        <w:rPr>
          <w:rFonts w:ascii="Arial" w:hAnsi="Arial" w:cs="Arial"/>
        </w:rPr>
        <w:t xml:space="preserve"> – by engaging with Aboriginal </w:t>
      </w:r>
      <w:r w:rsidR="005F7F92">
        <w:rPr>
          <w:rFonts w:ascii="Arial" w:hAnsi="Arial" w:cs="Arial"/>
        </w:rPr>
        <w:t xml:space="preserve">peoples </w:t>
      </w:r>
      <w:r w:rsidRPr="006F0CE5">
        <w:rPr>
          <w:rFonts w:ascii="Arial" w:hAnsi="Arial" w:cs="Arial"/>
        </w:rPr>
        <w:t>and Torres Strait Islander peoples and communities, we aim to address disadvantage through the delivery of effective policies and programs.</w:t>
      </w:r>
    </w:p>
    <w:p w:rsidR="0028598A" w:rsidRPr="006F0CE5" w:rsidRDefault="00B625AF" w:rsidP="00D806AE">
      <w:pPr>
        <w:pStyle w:val="ListParagraph"/>
        <w:numPr>
          <w:ilvl w:val="0"/>
          <w:numId w:val="8"/>
        </w:numPr>
        <w:rPr>
          <w:rFonts w:ascii="Arial" w:hAnsi="Arial" w:cs="Arial"/>
        </w:rPr>
      </w:pPr>
      <w:r w:rsidRPr="006F0CE5">
        <w:rPr>
          <w:rFonts w:ascii="Arial" w:hAnsi="Arial" w:cs="Arial"/>
          <w:b/>
        </w:rPr>
        <w:t>Workforce capability</w:t>
      </w:r>
      <w:r w:rsidRPr="006F0CE5">
        <w:rPr>
          <w:rFonts w:ascii="Arial" w:hAnsi="Arial" w:cs="Arial"/>
        </w:rPr>
        <w:t xml:space="preserve"> – by focussing on improving the skills and engagement of our leaders and staff, we will attract and retain skilled employees and lift our productivity.</w:t>
      </w:r>
    </w:p>
    <w:p w:rsidR="0028598A" w:rsidRPr="006F0CE5" w:rsidRDefault="00B625AF" w:rsidP="00D806AE">
      <w:pPr>
        <w:pStyle w:val="ListParagraph"/>
        <w:numPr>
          <w:ilvl w:val="0"/>
          <w:numId w:val="8"/>
        </w:numPr>
        <w:rPr>
          <w:rFonts w:ascii="Arial" w:hAnsi="Arial" w:cs="Arial"/>
        </w:rPr>
      </w:pPr>
      <w:r w:rsidRPr="006F0CE5">
        <w:rPr>
          <w:rFonts w:ascii="Arial" w:hAnsi="Arial" w:cs="Arial"/>
          <w:b/>
        </w:rPr>
        <w:t>Planning and resources</w:t>
      </w:r>
      <w:r w:rsidRPr="006F0CE5">
        <w:rPr>
          <w:rFonts w:ascii="Arial" w:hAnsi="Arial" w:cs="Arial"/>
        </w:rPr>
        <w:t xml:space="preserve"> – by working to align the department’s plans and resources to our strategic direction and priorities, we aim to optimise our financial and service delivery outcomes.</w:t>
      </w:r>
    </w:p>
    <w:p w:rsidR="0028598A" w:rsidRPr="00C96F1A" w:rsidRDefault="0028598A" w:rsidP="00C96F1A">
      <w:pPr>
        <w:rPr>
          <w:rFonts w:ascii="Arial" w:hAnsi="Arial" w:cs="Arial"/>
        </w:rPr>
        <w:sectPr w:rsidR="0028598A" w:rsidRPr="00C96F1A" w:rsidSect="00C96F1A">
          <w:pgSz w:w="11910" w:h="16840"/>
          <w:pgMar w:top="1440" w:right="1080" w:bottom="1440" w:left="1080" w:header="0" w:footer="480" w:gutter="0"/>
          <w:cols w:space="720"/>
        </w:sectPr>
      </w:pPr>
    </w:p>
    <w:p w:rsidR="0028598A" w:rsidRPr="00C96F1A" w:rsidRDefault="00B625AF" w:rsidP="00C96F1A">
      <w:pPr>
        <w:rPr>
          <w:rFonts w:ascii="Arial" w:hAnsi="Arial" w:cs="Arial"/>
        </w:rPr>
      </w:pPr>
      <w:r w:rsidRPr="00C96F1A">
        <w:rPr>
          <w:rFonts w:ascii="Arial" w:hAnsi="Arial" w:cs="Arial"/>
        </w:rPr>
        <w:t>While we are effectively managing our risks, we are also aware of opportunities to reimagine our approach to managing our complex portfolio. To ensure we are well placed for the future, we will:</w:t>
      </w:r>
    </w:p>
    <w:p w:rsidR="0028598A" w:rsidRPr="00C96F1A" w:rsidRDefault="00B625AF" w:rsidP="00D806AE">
      <w:pPr>
        <w:pStyle w:val="ListParagraph"/>
        <w:numPr>
          <w:ilvl w:val="0"/>
          <w:numId w:val="9"/>
        </w:numPr>
        <w:rPr>
          <w:rFonts w:ascii="Arial" w:hAnsi="Arial" w:cs="Arial"/>
        </w:rPr>
      </w:pPr>
      <w:r w:rsidRPr="00C96F1A">
        <w:rPr>
          <w:rFonts w:ascii="Arial" w:hAnsi="Arial" w:cs="Arial"/>
        </w:rPr>
        <w:t>develop our leadership capabilities at all levels to drive organisational change and embrace new opportunities</w:t>
      </w:r>
    </w:p>
    <w:p w:rsidR="0028598A" w:rsidRPr="0065172D" w:rsidRDefault="00B625AF" w:rsidP="00D806AE">
      <w:pPr>
        <w:pStyle w:val="ListParagraph"/>
        <w:numPr>
          <w:ilvl w:val="0"/>
          <w:numId w:val="9"/>
        </w:numPr>
        <w:rPr>
          <w:rFonts w:ascii="Arial" w:hAnsi="Arial" w:cs="Arial"/>
        </w:rPr>
      </w:pPr>
      <w:r w:rsidRPr="0065172D">
        <w:rPr>
          <w:rFonts w:ascii="Arial" w:hAnsi="Arial" w:cs="Arial"/>
        </w:rPr>
        <w:t>foster a culture of innovation and agility that enables us to</w:t>
      </w:r>
      <w:r w:rsidR="0065172D" w:rsidRPr="0065172D">
        <w:rPr>
          <w:rFonts w:ascii="Arial" w:hAnsi="Arial" w:cs="Arial"/>
        </w:rPr>
        <w:t xml:space="preserve"> </w:t>
      </w:r>
      <w:r w:rsidRPr="0065172D">
        <w:rPr>
          <w:rFonts w:ascii="Arial" w:hAnsi="Arial" w:cs="Arial"/>
        </w:rPr>
        <w:t>meet the future needs and changing expectations of our</w:t>
      </w:r>
      <w:r w:rsidR="0065172D" w:rsidRPr="0065172D">
        <w:rPr>
          <w:rFonts w:ascii="Arial" w:hAnsi="Arial" w:cs="Arial"/>
        </w:rPr>
        <w:t xml:space="preserve"> </w:t>
      </w:r>
      <w:r w:rsidRPr="0065172D">
        <w:rPr>
          <w:rFonts w:ascii="Arial" w:hAnsi="Arial" w:cs="Arial"/>
        </w:rPr>
        <w:t>clients, customers and stakeholders</w:t>
      </w:r>
    </w:p>
    <w:p w:rsidR="0028598A" w:rsidRPr="0065172D" w:rsidRDefault="00B625AF" w:rsidP="00D806AE">
      <w:pPr>
        <w:pStyle w:val="ListParagraph"/>
        <w:numPr>
          <w:ilvl w:val="0"/>
          <w:numId w:val="9"/>
        </w:numPr>
        <w:rPr>
          <w:rFonts w:ascii="Arial" w:hAnsi="Arial" w:cs="Arial"/>
        </w:rPr>
      </w:pPr>
      <w:r w:rsidRPr="0065172D">
        <w:rPr>
          <w:rFonts w:ascii="Arial" w:hAnsi="Arial" w:cs="Arial"/>
        </w:rPr>
        <w:t>build our capacity to respond to a digitised future, use technology and analyse data to gain new insights and transform the way we do business.</w:t>
      </w:r>
    </w:p>
    <w:p w:rsidR="0028598A" w:rsidRPr="00C96F1A" w:rsidRDefault="00B625AF" w:rsidP="0065172D">
      <w:pPr>
        <w:pStyle w:val="Heading3"/>
      </w:pPr>
      <w:r w:rsidRPr="00C96F1A">
        <w:t>Our priorities</w:t>
      </w:r>
    </w:p>
    <w:p w:rsidR="0028598A" w:rsidRPr="00C96F1A" w:rsidRDefault="00B625AF" w:rsidP="00C96F1A">
      <w:pPr>
        <w:rPr>
          <w:rFonts w:ascii="Arial" w:hAnsi="Arial" w:cs="Arial"/>
        </w:rPr>
      </w:pPr>
      <w:r w:rsidRPr="00C96F1A">
        <w:rPr>
          <w:rFonts w:ascii="Arial" w:hAnsi="Arial" w:cs="Arial"/>
        </w:rPr>
        <w:t>Our department’s key focus is to support the achievement of the Queensland Government’s objectives, including to:</w:t>
      </w:r>
    </w:p>
    <w:p w:rsidR="0028598A" w:rsidRPr="0065172D" w:rsidRDefault="00B625AF" w:rsidP="00D806AE">
      <w:pPr>
        <w:pStyle w:val="ListParagraph"/>
        <w:numPr>
          <w:ilvl w:val="0"/>
          <w:numId w:val="10"/>
        </w:numPr>
        <w:rPr>
          <w:rFonts w:ascii="Arial" w:hAnsi="Arial" w:cs="Arial"/>
        </w:rPr>
      </w:pPr>
      <w:r w:rsidRPr="0065172D">
        <w:rPr>
          <w:rFonts w:ascii="Arial" w:hAnsi="Arial" w:cs="Arial"/>
        </w:rPr>
        <w:t>be a responsive government to make it easier for citizens to access and use government services and to do business with government</w:t>
      </w:r>
    </w:p>
    <w:p w:rsidR="0028598A" w:rsidRPr="00473495" w:rsidRDefault="00B625AF" w:rsidP="00D806AE">
      <w:pPr>
        <w:pStyle w:val="ListParagraph"/>
        <w:numPr>
          <w:ilvl w:val="0"/>
          <w:numId w:val="10"/>
        </w:numPr>
        <w:rPr>
          <w:rFonts w:ascii="Arial" w:hAnsi="Arial" w:cs="Arial"/>
        </w:rPr>
      </w:pPr>
      <w:r w:rsidRPr="0065172D">
        <w:rPr>
          <w:rFonts w:ascii="Arial" w:hAnsi="Arial" w:cs="Arial"/>
        </w:rPr>
        <w:t>create jobs in a strong economy through significant building</w:t>
      </w:r>
      <w:r w:rsidR="00473495">
        <w:rPr>
          <w:rFonts w:ascii="Arial" w:hAnsi="Arial" w:cs="Arial"/>
        </w:rPr>
        <w:t xml:space="preserve"> </w:t>
      </w:r>
      <w:r w:rsidRPr="00473495">
        <w:rPr>
          <w:rFonts w:ascii="Arial" w:hAnsi="Arial" w:cs="Arial"/>
        </w:rPr>
        <w:t>and public works programs</w:t>
      </w:r>
    </w:p>
    <w:p w:rsidR="0028598A" w:rsidRPr="0065172D" w:rsidRDefault="00B625AF" w:rsidP="00D806AE">
      <w:pPr>
        <w:pStyle w:val="ListParagraph"/>
        <w:numPr>
          <w:ilvl w:val="0"/>
          <w:numId w:val="10"/>
        </w:numPr>
        <w:rPr>
          <w:rFonts w:ascii="Arial" w:hAnsi="Arial" w:cs="Arial"/>
        </w:rPr>
      </w:pPr>
      <w:r w:rsidRPr="0065172D">
        <w:rPr>
          <w:rFonts w:ascii="Arial" w:hAnsi="Arial" w:cs="Arial"/>
        </w:rPr>
        <w:t>keep Queenslanders healthy through sport and recreational activities</w:t>
      </w:r>
    </w:p>
    <w:p w:rsidR="0028598A" w:rsidRPr="0065172D" w:rsidRDefault="00B625AF" w:rsidP="00D806AE">
      <w:pPr>
        <w:pStyle w:val="ListParagraph"/>
        <w:numPr>
          <w:ilvl w:val="0"/>
          <w:numId w:val="10"/>
        </w:numPr>
        <w:rPr>
          <w:rFonts w:ascii="Arial" w:hAnsi="Arial" w:cs="Arial"/>
        </w:rPr>
      </w:pPr>
      <w:r w:rsidRPr="0065172D">
        <w:rPr>
          <w:rFonts w:ascii="Arial" w:hAnsi="Arial" w:cs="Arial"/>
        </w:rPr>
        <w:t>keep communities safe by focusing on opportunities for, and providing housing and homelessness services to, vulnerable young Queenslanders.</w:t>
      </w:r>
    </w:p>
    <w:p w:rsidR="0028598A" w:rsidRPr="00C96F1A" w:rsidRDefault="0028598A" w:rsidP="00C96F1A">
      <w:pPr>
        <w:rPr>
          <w:rFonts w:ascii="Arial" w:hAnsi="Arial" w:cs="Arial"/>
        </w:rPr>
      </w:pPr>
    </w:p>
    <w:p w:rsidR="0028598A" w:rsidRPr="00C96F1A" w:rsidRDefault="00B625AF" w:rsidP="00C96F1A">
      <w:pPr>
        <w:rPr>
          <w:rFonts w:ascii="Arial" w:hAnsi="Arial" w:cs="Arial"/>
        </w:rPr>
      </w:pPr>
      <w:r w:rsidRPr="00C96F1A">
        <w:rPr>
          <w:rFonts w:ascii="Arial" w:hAnsi="Arial" w:cs="Arial"/>
        </w:rPr>
        <w:t>The department’s key priorities into the future include:</w:t>
      </w:r>
    </w:p>
    <w:p w:rsidR="0028598A" w:rsidRPr="0065172D" w:rsidRDefault="00B625AF" w:rsidP="00D806AE">
      <w:pPr>
        <w:pStyle w:val="ListParagraph"/>
        <w:numPr>
          <w:ilvl w:val="0"/>
          <w:numId w:val="11"/>
        </w:numPr>
        <w:rPr>
          <w:rFonts w:ascii="Arial" w:hAnsi="Arial" w:cs="Arial"/>
          <w:color w:val="000000" w:themeColor="text1"/>
        </w:rPr>
      </w:pPr>
      <w:r w:rsidRPr="0065172D">
        <w:rPr>
          <w:rFonts w:ascii="Arial" w:hAnsi="Arial" w:cs="Arial"/>
          <w:color w:val="000000" w:themeColor="text1"/>
        </w:rPr>
        <w:t>driving the delivery of a responsive government, including supporting the delivery of simple and easy-to-access services across government</w:t>
      </w:r>
    </w:p>
    <w:p w:rsidR="0028598A" w:rsidRPr="0065172D" w:rsidRDefault="00B625AF" w:rsidP="00D806AE">
      <w:pPr>
        <w:pStyle w:val="ListParagraph"/>
        <w:numPr>
          <w:ilvl w:val="0"/>
          <w:numId w:val="11"/>
        </w:numPr>
        <w:rPr>
          <w:rFonts w:ascii="Arial" w:hAnsi="Arial" w:cs="Arial"/>
          <w:color w:val="000000" w:themeColor="text1"/>
        </w:rPr>
      </w:pPr>
      <w:r w:rsidRPr="0065172D">
        <w:rPr>
          <w:rFonts w:ascii="Arial" w:hAnsi="Arial" w:cs="Arial"/>
          <w:color w:val="000000" w:themeColor="text1"/>
        </w:rPr>
        <w:t xml:space="preserve">delivering improved housing outcomes for all Queenslanders by continuing to implement the </w:t>
      </w:r>
      <w:r w:rsidRPr="0065172D">
        <w:rPr>
          <w:rFonts w:ascii="Arial" w:hAnsi="Arial" w:cs="Arial"/>
          <w:i/>
          <w:color w:val="000000" w:themeColor="text1"/>
        </w:rPr>
        <w:t>Queensland Housing</w:t>
      </w:r>
      <w:r w:rsidR="0065172D" w:rsidRPr="0065172D">
        <w:rPr>
          <w:rFonts w:ascii="Arial" w:hAnsi="Arial" w:cs="Arial"/>
          <w:i/>
          <w:color w:val="000000" w:themeColor="text1"/>
        </w:rPr>
        <w:t xml:space="preserve"> </w:t>
      </w:r>
      <w:r w:rsidRPr="0065172D">
        <w:rPr>
          <w:rFonts w:ascii="Arial" w:hAnsi="Arial" w:cs="Arial"/>
          <w:i/>
          <w:color w:val="000000" w:themeColor="text1"/>
        </w:rPr>
        <w:t>Strategy 2017–27</w:t>
      </w:r>
      <w:r w:rsidRPr="0065172D">
        <w:rPr>
          <w:rFonts w:ascii="Arial" w:hAnsi="Arial" w:cs="Arial"/>
          <w:color w:val="000000" w:themeColor="text1"/>
        </w:rPr>
        <w:t xml:space="preserve"> and Action Plan including driving the</w:t>
      </w:r>
      <w:r w:rsidR="0065172D" w:rsidRPr="0065172D">
        <w:rPr>
          <w:rFonts w:ascii="Arial" w:hAnsi="Arial" w:cs="Arial"/>
          <w:color w:val="000000" w:themeColor="text1"/>
        </w:rPr>
        <w:t xml:space="preserve"> </w:t>
      </w:r>
      <w:r w:rsidRPr="0065172D">
        <w:rPr>
          <w:rFonts w:ascii="Arial" w:hAnsi="Arial" w:cs="Arial"/>
          <w:color w:val="000000" w:themeColor="text1"/>
        </w:rPr>
        <w:t xml:space="preserve">delivery of the </w:t>
      </w:r>
      <w:r w:rsidRPr="0065172D">
        <w:rPr>
          <w:rFonts w:ascii="Arial" w:hAnsi="Arial" w:cs="Arial"/>
          <w:i/>
          <w:color w:val="000000" w:themeColor="text1"/>
        </w:rPr>
        <w:t>Housing Construction Jobs Program</w:t>
      </w:r>
    </w:p>
    <w:p w:rsidR="0028598A" w:rsidRPr="0065172D" w:rsidRDefault="00B625AF" w:rsidP="00D806AE">
      <w:pPr>
        <w:pStyle w:val="ListParagraph"/>
        <w:numPr>
          <w:ilvl w:val="0"/>
          <w:numId w:val="11"/>
        </w:numPr>
        <w:rPr>
          <w:rFonts w:ascii="Arial" w:hAnsi="Arial" w:cs="Arial"/>
          <w:color w:val="000000" w:themeColor="text1"/>
        </w:rPr>
      </w:pPr>
      <w:r w:rsidRPr="0065172D">
        <w:rPr>
          <w:rFonts w:ascii="Arial" w:hAnsi="Arial" w:cs="Arial"/>
          <w:color w:val="000000" w:themeColor="text1"/>
        </w:rPr>
        <w:t xml:space="preserve">delivering reforms arising from the </w:t>
      </w:r>
      <w:r w:rsidRPr="0065172D">
        <w:rPr>
          <w:rFonts w:ascii="Arial" w:hAnsi="Arial" w:cs="Arial"/>
          <w:i/>
          <w:color w:val="000000" w:themeColor="text1"/>
        </w:rPr>
        <w:t>Queensland Building</w:t>
      </w:r>
      <w:r w:rsidR="0065172D" w:rsidRPr="0065172D">
        <w:rPr>
          <w:rFonts w:ascii="Arial" w:hAnsi="Arial" w:cs="Arial"/>
          <w:i/>
          <w:color w:val="000000" w:themeColor="text1"/>
        </w:rPr>
        <w:t xml:space="preserve"> </w:t>
      </w:r>
      <w:r w:rsidRPr="0065172D">
        <w:rPr>
          <w:rFonts w:ascii="Arial" w:hAnsi="Arial" w:cs="Arial"/>
          <w:i/>
          <w:color w:val="000000" w:themeColor="text1"/>
        </w:rPr>
        <w:t>Plan 2017</w:t>
      </w:r>
    </w:p>
    <w:p w:rsidR="0028598A" w:rsidRPr="0065172D" w:rsidRDefault="00B625AF" w:rsidP="00D806AE">
      <w:pPr>
        <w:pStyle w:val="ListParagraph"/>
        <w:numPr>
          <w:ilvl w:val="0"/>
          <w:numId w:val="11"/>
        </w:numPr>
        <w:rPr>
          <w:rFonts w:ascii="Arial" w:hAnsi="Arial" w:cs="Arial"/>
          <w:color w:val="000000" w:themeColor="text1"/>
        </w:rPr>
      </w:pPr>
      <w:r w:rsidRPr="0065172D">
        <w:rPr>
          <w:rFonts w:ascii="Arial" w:hAnsi="Arial" w:cs="Arial"/>
          <w:color w:val="000000" w:themeColor="text1"/>
        </w:rPr>
        <w:lastRenderedPageBreak/>
        <w:t xml:space="preserve">delivering on the </w:t>
      </w:r>
      <w:r w:rsidRPr="0065172D">
        <w:rPr>
          <w:rFonts w:ascii="Arial" w:hAnsi="Arial" w:cs="Arial"/>
          <w:i/>
          <w:color w:val="000000" w:themeColor="text1"/>
        </w:rPr>
        <w:t>Non-Conforming Building Products Audit Taskforce Report</w:t>
      </w:r>
    </w:p>
    <w:p w:rsidR="0028598A" w:rsidRPr="0065172D" w:rsidRDefault="00B625AF" w:rsidP="00D806AE">
      <w:pPr>
        <w:pStyle w:val="ListParagraph"/>
        <w:numPr>
          <w:ilvl w:val="0"/>
          <w:numId w:val="11"/>
        </w:numPr>
        <w:rPr>
          <w:rFonts w:ascii="Arial" w:hAnsi="Arial" w:cs="Arial"/>
          <w:color w:val="000000" w:themeColor="text1"/>
        </w:rPr>
      </w:pPr>
      <w:r w:rsidRPr="0065172D">
        <w:rPr>
          <w:rFonts w:ascii="Arial" w:hAnsi="Arial" w:cs="Arial"/>
          <w:color w:val="000000" w:themeColor="text1"/>
        </w:rPr>
        <w:t>improving the delivery of sport and active recreation opportunities for all Queenslanders by developing a Queensland sport and active recreation strategy</w:t>
      </w:r>
    </w:p>
    <w:p w:rsidR="0028598A" w:rsidRPr="0065172D" w:rsidRDefault="00B625AF" w:rsidP="00D806AE">
      <w:pPr>
        <w:pStyle w:val="ListParagraph"/>
        <w:numPr>
          <w:ilvl w:val="0"/>
          <w:numId w:val="11"/>
        </w:numPr>
        <w:rPr>
          <w:rFonts w:ascii="Arial" w:hAnsi="Arial" w:cs="Arial"/>
          <w:color w:val="000000" w:themeColor="text1"/>
        </w:rPr>
      </w:pPr>
      <w:r w:rsidRPr="0065172D">
        <w:rPr>
          <w:rFonts w:ascii="Arial" w:hAnsi="Arial" w:cs="Arial"/>
          <w:color w:val="000000" w:themeColor="text1"/>
        </w:rPr>
        <w:t xml:space="preserve">embedding the </w:t>
      </w:r>
      <w:r w:rsidRPr="0065172D">
        <w:rPr>
          <w:rFonts w:ascii="Arial" w:hAnsi="Arial" w:cs="Arial"/>
          <w:i/>
          <w:color w:val="000000" w:themeColor="text1"/>
        </w:rPr>
        <w:t xml:space="preserve">Queensland Government Procurement Policy </w:t>
      </w:r>
      <w:r w:rsidRPr="0065172D">
        <w:rPr>
          <w:rFonts w:ascii="Arial" w:hAnsi="Arial" w:cs="Arial"/>
          <w:color w:val="000000" w:themeColor="text1"/>
        </w:rPr>
        <w:t>and Government Procurement Strategy</w:t>
      </w:r>
      <w:r w:rsidR="0065172D" w:rsidRPr="0065172D">
        <w:rPr>
          <w:rFonts w:ascii="Arial" w:hAnsi="Arial" w:cs="Arial"/>
          <w:color w:val="000000" w:themeColor="text1"/>
        </w:rPr>
        <w:t xml:space="preserve"> </w:t>
      </w:r>
      <w:r w:rsidRPr="0065172D">
        <w:rPr>
          <w:rFonts w:ascii="Arial" w:hAnsi="Arial" w:cs="Arial"/>
          <w:color w:val="000000" w:themeColor="text1"/>
        </w:rPr>
        <w:t>Backing Queensland Jobs including enhancements announced in 2018.</w:t>
      </w:r>
    </w:p>
    <w:p w:rsidR="0065172D" w:rsidRPr="00C96F1A" w:rsidRDefault="0065172D" w:rsidP="0065172D">
      <w:pPr>
        <w:pStyle w:val="Heading3"/>
      </w:pPr>
      <w:bookmarkStart w:id="17" w:name="OUR_VALUES"/>
      <w:r w:rsidRPr="00C96F1A">
        <w:t>Our values</w:t>
      </w:r>
    </w:p>
    <w:bookmarkEnd w:id="17"/>
    <w:p w:rsidR="0065172D" w:rsidRPr="00C96F1A" w:rsidRDefault="0065172D" w:rsidP="0065172D">
      <w:pPr>
        <w:rPr>
          <w:rFonts w:ascii="Arial" w:hAnsi="Arial" w:cs="Arial"/>
        </w:rPr>
      </w:pPr>
      <w:r w:rsidRPr="00C96F1A">
        <w:rPr>
          <w:rFonts w:ascii="Arial" w:hAnsi="Arial" w:cs="Arial"/>
        </w:rPr>
        <w:t>We are committed to integrity and accountability, with our values underpinning everything we do. Our people are engaged in their work and are committed to the following core public service values, as well as a healthy and safe workforce:</w:t>
      </w:r>
    </w:p>
    <w:p w:rsidR="0065172D" w:rsidRPr="0065172D" w:rsidRDefault="0065172D" w:rsidP="00D806AE">
      <w:pPr>
        <w:pStyle w:val="ListParagraph"/>
        <w:numPr>
          <w:ilvl w:val="0"/>
          <w:numId w:val="12"/>
        </w:numPr>
        <w:rPr>
          <w:rFonts w:ascii="Arial" w:hAnsi="Arial" w:cs="Arial"/>
        </w:rPr>
      </w:pPr>
      <w:r w:rsidRPr="0065172D">
        <w:rPr>
          <w:rFonts w:ascii="Arial" w:hAnsi="Arial" w:cs="Arial"/>
        </w:rPr>
        <w:t>Healthy and safe workforce</w:t>
      </w:r>
    </w:p>
    <w:p w:rsidR="0065172D" w:rsidRPr="0065172D" w:rsidRDefault="0065172D" w:rsidP="00D806AE">
      <w:pPr>
        <w:pStyle w:val="ListParagraph"/>
        <w:numPr>
          <w:ilvl w:val="0"/>
          <w:numId w:val="12"/>
        </w:numPr>
        <w:rPr>
          <w:rFonts w:ascii="Arial" w:hAnsi="Arial" w:cs="Arial"/>
        </w:rPr>
      </w:pPr>
      <w:r w:rsidRPr="0065172D">
        <w:rPr>
          <w:rFonts w:ascii="Arial" w:hAnsi="Arial" w:cs="Arial"/>
        </w:rPr>
        <w:t>Customers first</w:t>
      </w:r>
    </w:p>
    <w:p w:rsidR="0065172D" w:rsidRPr="0065172D" w:rsidRDefault="0065172D" w:rsidP="00D806AE">
      <w:pPr>
        <w:pStyle w:val="ListParagraph"/>
        <w:numPr>
          <w:ilvl w:val="0"/>
          <w:numId w:val="12"/>
        </w:numPr>
        <w:rPr>
          <w:rFonts w:ascii="Arial" w:hAnsi="Arial" w:cs="Arial"/>
        </w:rPr>
      </w:pPr>
      <w:r w:rsidRPr="0065172D">
        <w:rPr>
          <w:rFonts w:ascii="Arial" w:hAnsi="Arial" w:cs="Arial"/>
        </w:rPr>
        <w:t>Ideas into action</w:t>
      </w:r>
    </w:p>
    <w:p w:rsidR="0065172D" w:rsidRPr="0065172D" w:rsidRDefault="0065172D" w:rsidP="00D806AE">
      <w:pPr>
        <w:pStyle w:val="ListParagraph"/>
        <w:numPr>
          <w:ilvl w:val="0"/>
          <w:numId w:val="12"/>
        </w:numPr>
        <w:rPr>
          <w:rFonts w:ascii="Arial" w:hAnsi="Arial" w:cs="Arial"/>
        </w:rPr>
      </w:pPr>
      <w:r w:rsidRPr="0065172D">
        <w:rPr>
          <w:rFonts w:ascii="Arial" w:hAnsi="Arial" w:cs="Arial"/>
        </w:rPr>
        <w:t>Unleash potential</w:t>
      </w:r>
    </w:p>
    <w:p w:rsidR="0065172D" w:rsidRPr="0065172D" w:rsidRDefault="0065172D" w:rsidP="00D806AE">
      <w:pPr>
        <w:pStyle w:val="ListParagraph"/>
        <w:numPr>
          <w:ilvl w:val="0"/>
          <w:numId w:val="12"/>
        </w:numPr>
        <w:rPr>
          <w:rFonts w:ascii="Arial" w:hAnsi="Arial" w:cs="Arial"/>
        </w:rPr>
      </w:pPr>
      <w:r w:rsidRPr="0065172D">
        <w:rPr>
          <w:rFonts w:ascii="Arial" w:hAnsi="Arial" w:cs="Arial"/>
        </w:rPr>
        <w:t>Be courageous</w:t>
      </w:r>
    </w:p>
    <w:p w:rsidR="0028598A" w:rsidRPr="0065172D" w:rsidRDefault="00B625AF" w:rsidP="00D806AE">
      <w:pPr>
        <w:pStyle w:val="ListParagraph"/>
        <w:numPr>
          <w:ilvl w:val="0"/>
          <w:numId w:val="12"/>
        </w:numPr>
        <w:rPr>
          <w:rFonts w:ascii="Arial" w:hAnsi="Arial" w:cs="Arial"/>
        </w:rPr>
      </w:pPr>
      <w:r w:rsidRPr="0065172D">
        <w:rPr>
          <w:rFonts w:ascii="Arial" w:hAnsi="Arial" w:cs="Arial"/>
        </w:rPr>
        <w:t>Empower people</w:t>
      </w:r>
    </w:p>
    <w:p w:rsidR="0065172D" w:rsidRDefault="0065172D" w:rsidP="00C96F1A">
      <w:pPr>
        <w:rPr>
          <w:rFonts w:ascii="Arial" w:hAnsi="Arial" w:cs="Arial"/>
        </w:rPr>
      </w:pPr>
    </w:p>
    <w:p w:rsidR="0065172D" w:rsidRDefault="0065172D" w:rsidP="00CC6E4B">
      <w:pPr>
        <w:pStyle w:val="Heading3"/>
      </w:pPr>
      <w:r w:rsidRPr="00C96F1A">
        <w:t>CASE STUDY</w:t>
      </w:r>
      <w:r w:rsidRPr="00C96F1A">
        <w:tab/>
        <w:t>A new-look Fortitude Valley HSC</w:t>
      </w:r>
    </w:p>
    <w:p w:rsidR="0065172D" w:rsidRPr="00C96F1A" w:rsidRDefault="0065172D" w:rsidP="0065172D">
      <w:pPr>
        <w:rPr>
          <w:rFonts w:ascii="Arial" w:hAnsi="Arial" w:cs="Arial"/>
        </w:rPr>
      </w:pPr>
      <w:r>
        <w:rPr>
          <w:rFonts w:ascii="Arial" w:hAnsi="Arial" w:cs="Arial"/>
        </w:rPr>
        <w:t>IMAGE: PHOTO OF A SERVICE DESK AT FORTITUDE VALLEY HOUSING SERVICE CENTRE</w:t>
      </w:r>
    </w:p>
    <w:p w:rsidR="0065172D" w:rsidRPr="00C96F1A" w:rsidRDefault="0065172D" w:rsidP="0065172D">
      <w:pPr>
        <w:rPr>
          <w:rFonts w:ascii="Arial" w:hAnsi="Arial" w:cs="Arial"/>
        </w:rPr>
      </w:pPr>
      <w:r w:rsidRPr="00C96F1A">
        <w:rPr>
          <w:rFonts w:ascii="Arial" w:hAnsi="Arial" w:cs="Arial"/>
        </w:rPr>
        <w:t>Co-designed by staff, tenants and community partners, the new-look Fortitude Valley Housing Service Centre has been a resounding success, taking out a number of awards, including a national Good Design Award, and receiving positive feedback from visitors.</w:t>
      </w:r>
    </w:p>
    <w:p w:rsidR="0065172D" w:rsidRPr="00C96F1A" w:rsidRDefault="0065172D" w:rsidP="0065172D">
      <w:pPr>
        <w:rPr>
          <w:rFonts w:ascii="Arial" w:hAnsi="Arial" w:cs="Arial"/>
        </w:rPr>
      </w:pPr>
      <w:r w:rsidRPr="00C96F1A">
        <w:rPr>
          <w:rFonts w:ascii="Arial" w:hAnsi="Arial" w:cs="Arial"/>
        </w:rPr>
        <w:t>Human-centred design is an approach to problem-solving that places customers and stakeholders at the heart of the design process. The approach was applied to the re-design of the Fortitude Valley Housing Service Centre, one of 22 centres providing housing support to Queenslanders. Staff, clients, agency and community partners came together to co-design a</w:t>
      </w:r>
      <w:r w:rsidR="008D4D49">
        <w:rPr>
          <w:rFonts w:ascii="Arial" w:hAnsi="Arial" w:cs="Arial"/>
        </w:rPr>
        <w:t xml:space="preserve"> </w:t>
      </w:r>
      <w:r w:rsidRPr="00C96F1A">
        <w:rPr>
          <w:rFonts w:ascii="Arial" w:hAnsi="Arial" w:cs="Arial"/>
        </w:rPr>
        <w:t>centre that would help transform housing service delivery across the state.</w:t>
      </w:r>
    </w:p>
    <w:p w:rsidR="0065172D" w:rsidRPr="00C96F1A" w:rsidRDefault="0065172D" w:rsidP="0065172D">
      <w:pPr>
        <w:rPr>
          <w:rFonts w:ascii="Arial" w:hAnsi="Arial" w:cs="Arial"/>
        </w:rPr>
      </w:pPr>
      <w:r w:rsidRPr="00C96F1A">
        <w:rPr>
          <w:rFonts w:ascii="Arial" w:hAnsi="Arial" w:cs="Arial"/>
        </w:rPr>
        <w:t>In its first three months of operation, the centre received a feedback rating of ‘excellent’ by 100 per cent of visitors, with the environment described as ‘very homely’, ‘super’, and ‘awesome’, with a ‘modern feel’, ‘quick pleasant service’, ‘great kids’ space’ and ‘excellent atmosphere’.</w:t>
      </w:r>
    </w:p>
    <w:p w:rsidR="0065172D" w:rsidRPr="00C96F1A" w:rsidRDefault="0065172D" w:rsidP="0065172D">
      <w:pPr>
        <w:rPr>
          <w:rFonts w:ascii="Arial" w:hAnsi="Arial" w:cs="Arial"/>
        </w:rPr>
      </w:pPr>
      <w:r w:rsidRPr="00C96F1A">
        <w:rPr>
          <w:rFonts w:ascii="Arial" w:hAnsi="Arial" w:cs="Arial"/>
        </w:rPr>
        <w:t>A collaborative departmental effort contributed to the outcome, with teams working on sourcing the site, including the physical and IT fit-out following the design process.</w:t>
      </w:r>
    </w:p>
    <w:p w:rsidR="0065172D" w:rsidRPr="00C96F1A" w:rsidRDefault="0065172D" w:rsidP="0065172D">
      <w:pPr>
        <w:rPr>
          <w:rFonts w:ascii="Arial" w:hAnsi="Arial" w:cs="Arial"/>
        </w:rPr>
      </w:pPr>
      <w:r w:rsidRPr="00C96F1A">
        <w:rPr>
          <w:rFonts w:ascii="Arial" w:hAnsi="Arial" w:cs="Arial"/>
        </w:rPr>
        <w:t>Staff are also embracing the transformed workplace, which includes new workstations, a large modern kitchen, break-out areas and an innovation space catering to over 100 people.</w:t>
      </w:r>
    </w:p>
    <w:p w:rsidR="0065172D" w:rsidRPr="0065172D" w:rsidRDefault="0065172D" w:rsidP="0065172D">
      <w:pPr>
        <w:rPr>
          <w:rFonts w:ascii="Arial" w:hAnsi="Arial" w:cs="Arial"/>
          <w:b/>
        </w:rPr>
      </w:pPr>
      <w:r w:rsidRPr="00C96F1A">
        <w:rPr>
          <w:rFonts w:ascii="Arial" w:hAnsi="Arial" w:cs="Arial"/>
        </w:rPr>
        <w:t>The new centre opened on 29 January 2018 and is part of an overarching plan to modernise housing service centres across Queensland.</w:t>
      </w:r>
    </w:p>
    <w:p w:rsidR="0028598A" w:rsidRPr="00C96F1A" w:rsidRDefault="0028598A" w:rsidP="00C96F1A">
      <w:pPr>
        <w:rPr>
          <w:rFonts w:ascii="Arial" w:hAnsi="Arial" w:cs="Arial"/>
        </w:rPr>
        <w:sectPr w:rsidR="0028598A" w:rsidRPr="00C96F1A" w:rsidSect="00C96F1A">
          <w:type w:val="continuous"/>
          <w:pgSz w:w="11910" w:h="16840"/>
          <w:pgMar w:top="1440" w:right="1080" w:bottom="1440" w:left="1080" w:header="720" w:footer="720" w:gutter="0"/>
          <w:cols w:space="720"/>
        </w:sectPr>
      </w:pPr>
    </w:p>
    <w:p w:rsidR="00CC6E4B" w:rsidRDefault="00CC6E4B">
      <w:pPr>
        <w:spacing w:before="0" w:after="0"/>
        <w:rPr>
          <w:rFonts w:asciiTheme="majorHAnsi" w:eastAsiaTheme="majorEastAsia" w:hAnsiTheme="majorHAnsi" w:cstheme="majorBidi"/>
          <w:b/>
          <w:bCs/>
          <w:sz w:val="32"/>
          <w:szCs w:val="26"/>
        </w:rPr>
      </w:pPr>
      <w:r>
        <w:br w:type="page"/>
      </w:r>
    </w:p>
    <w:p w:rsidR="0028598A" w:rsidRPr="00C96F1A" w:rsidRDefault="00B625AF" w:rsidP="00CC6E4B">
      <w:pPr>
        <w:pStyle w:val="Heading3"/>
      </w:pPr>
      <w:r w:rsidRPr="00C96F1A">
        <w:lastRenderedPageBreak/>
        <w:t>FEATURE</w:t>
      </w:r>
      <w:r w:rsidR="00CC6E4B">
        <w:t xml:space="preserve"> </w:t>
      </w:r>
      <w:r w:rsidRPr="00C96F1A">
        <w:t>Gold Coast 2018 Commonwealth Games</w:t>
      </w:r>
    </w:p>
    <w:p w:rsidR="0065172D" w:rsidRDefault="0065172D" w:rsidP="00C96F1A">
      <w:pPr>
        <w:rPr>
          <w:rFonts w:ascii="Arial" w:hAnsi="Arial" w:cs="Arial"/>
        </w:rPr>
      </w:pPr>
      <w:r>
        <w:rPr>
          <w:rFonts w:ascii="Arial" w:hAnsi="Arial" w:cs="Arial"/>
        </w:rPr>
        <w:t>IMAGE: GOLD COAST 2018 SIGN AT BEACH</w:t>
      </w:r>
    </w:p>
    <w:p w:rsidR="0065172D" w:rsidRDefault="0065172D" w:rsidP="00C96F1A">
      <w:pPr>
        <w:rPr>
          <w:rFonts w:ascii="Arial" w:hAnsi="Arial" w:cs="Arial"/>
        </w:rPr>
      </w:pPr>
      <w:r>
        <w:rPr>
          <w:rFonts w:ascii="Arial" w:hAnsi="Arial" w:cs="Arial"/>
        </w:rPr>
        <w:t>IMAGE: 2 LADIES TALKING AT GOLD COAST BEACH</w:t>
      </w:r>
    </w:p>
    <w:p w:rsidR="0028598A" w:rsidRPr="00C96F1A" w:rsidRDefault="00B625AF" w:rsidP="00C96F1A">
      <w:pPr>
        <w:rPr>
          <w:rFonts w:ascii="Arial" w:hAnsi="Arial" w:cs="Arial"/>
        </w:rPr>
      </w:pPr>
      <w:r w:rsidRPr="00C96F1A">
        <w:rPr>
          <w:rFonts w:ascii="Arial" w:hAnsi="Arial" w:cs="Arial"/>
        </w:rPr>
        <w:t>The Gold Coast took centre stage in April 2018 during the Commonwealth Games (GC2018), with the department playing a key role in the Queensland Government’s coordination of</w:t>
      </w:r>
      <w:r w:rsidR="0065172D">
        <w:rPr>
          <w:rFonts w:ascii="Arial" w:hAnsi="Arial" w:cs="Arial"/>
        </w:rPr>
        <w:t xml:space="preserve"> </w:t>
      </w:r>
      <w:r w:rsidRPr="00C96F1A">
        <w:rPr>
          <w:rFonts w:ascii="Arial" w:hAnsi="Arial" w:cs="Arial"/>
        </w:rPr>
        <w:t>the event. Housing, building, sport and recreation, and cyber security teams delivered a range of services both in the lead up to, and during the Games.</w:t>
      </w:r>
    </w:p>
    <w:p w:rsidR="0028598A" w:rsidRPr="00C96F1A" w:rsidRDefault="00B625AF" w:rsidP="00C96F1A">
      <w:pPr>
        <w:rPr>
          <w:rFonts w:ascii="Arial" w:hAnsi="Arial" w:cs="Arial"/>
        </w:rPr>
      </w:pPr>
      <w:r w:rsidRPr="00C96F1A">
        <w:rPr>
          <w:rFonts w:ascii="Arial" w:hAnsi="Arial" w:cs="Arial"/>
        </w:rPr>
        <w:t>Our Sport and Recreation team, through the Queensland Academy of Sport, supported Queensland’s contingent of 128 athletes which collectively won 90 medals – almost half of Australia’s tally. Supporting young Queenslanders at a grassroots level to become elite athletes is a key area of focus for the department.</w:t>
      </w:r>
    </w:p>
    <w:p w:rsidR="0028598A" w:rsidRPr="00C96F1A" w:rsidRDefault="00B625AF" w:rsidP="00C96F1A">
      <w:pPr>
        <w:rPr>
          <w:rFonts w:ascii="Arial" w:hAnsi="Arial" w:cs="Arial"/>
        </w:rPr>
      </w:pPr>
      <w:r w:rsidRPr="00C96F1A">
        <w:rPr>
          <w:rFonts w:ascii="Arial" w:hAnsi="Arial" w:cs="Arial"/>
        </w:rPr>
        <w:t>Underpinning this commitment is the development of a comprehensive sport and active recreation strategy aimed at articulating how we can better support Queenslanders to be more physically active, healthier and better connected while also supporting elite success, economic growth and jobs.</w:t>
      </w:r>
    </w:p>
    <w:p w:rsidR="0028598A" w:rsidRPr="00C96F1A" w:rsidRDefault="00B625AF" w:rsidP="00C96F1A">
      <w:pPr>
        <w:rPr>
          <w:rFonts w:ascii="Arial" w:hAnsi="Arial" w:cs="Arial"/>
        </w:rPr>
      </w:pPr>
      <w:r w:rsidRPr="00C96F1A">
        <w:rPr>
          <w:rFonts w:ascii="Arial" w:hAnsi="Arial" w:cs="Arial"/>
        </w:rPr>
        <w:t>Major events can cause disruptions for communities and impact on people experiencing homelessness as well as tenants in</w:t>
      </w:r>
      <w:r w:rsidR="0065172D">
        <w:rPr>
          <w:rFonts w:ascii="Arial" w:hAnsi="Arial" w:cs="Arial"/>
        </w:rPr>
        <w:t xml:space="preserve"> </w:t>
      </w:r>
      <w:r w:rsidRPr="00C96F1A">
        <w:rPr>
          <w:rFonts w:ascii="Arial" w:hAnsi="Arial" w:cs="Arial"/>
        </w:rPr>
        <w:t xml:space="preserve">the local rental market. In response to these challenges, the department developed the </w:t>
      </w:r>
      <w:r w:rsidRPr="008D4D49">
        <w:rPr>
          <w:rFonts w:ascii="Arial" w:hAnsi="Arial" w:cs="Arial"/>
          <w:i/>
        </w:rPr>
        <w:t>GC2018 Homelessness Action Plan</w:t>
      </w:r>
      <w:r w:rsidRPr="00C96F1A">
        <w:rPr>
          <w:rFonts w:ascii="Arial" w:hAnsi="Arial" w:cs="Arial"/>
        </w:rPr>
        <w:t xml:space="preserve"> which included the provision of an additional 489 beds for temporary emergency accommodation, and support for existing services to provide people with meals, showers, a place to relax</w:t>
      </w:r>
      <w:r w:rsidR="0065172D">
        <w:rPr>
          <w:rFonts w:ascii="Arial" w:hAnsi="Arial" w:cs="Arial"/>
        </w:rPr>
        <w:t xml:space="preserve"> </w:t>
      </w:r>
      <w:r w:rsidRPr="00C96F1A">
        <w:rPr>
          <w:rFonts w:ascii="Arial" w:hAnsi="Arial" w:cs="Arial"/>
        </w:rPr>
        <w:t xml:space="preserve">and a centralised place to continue to </w:t>
      </w:r>
      <w:r w:rsidR="005F7F92">
        <w:rPr>
          <w:rFonts w:ascii="Arial" w:hAnsi="Arial" w:cs="Arial"/>
        </w:rPr>
        <w:t>use</w:t>
      </w:r>
      <w:r w:rsidRPr="00C96F1A">
        <w:rPr>
          <w:rFonts w:ascii="Arial" w:hAnsi="Arial" w:cs="Arial"/>
        </w:rPr>
        <w:t xml:space="preserve"> support services. The department also supplied gocards to help people access support services and crisis accommodation.</w:t>
      </w:r>
    </w:p>
    <w:p w:rsidR="0028598A" w:rsidRPr="00C96F1A" w:rsidRDefault="00B625AF" w:rsidP="00C96F1A">
      <w:pPr>
        <w:rPr>
          <w:rFonts w:ascii="Arial" w:hAnsi="Arial" w:cs="Arial"/>
        </w:rPr>
      </w:pPr>
      <w:r w:rsidRPr="00C96F1A">
        <w:rPr>
          <w:rFonts w:ascii="Arial" w:hAnsi="Arial" w:cs="Arial"/>
        </w:rPr>
        <w:t>The local Housing Service Centre worked closely with the Gold Coast Homelessness Network, a group comprised of 50 services including homelessness, housing, drug and alcohol, and mental health services.</w:t>
      </w:r>
    </w:p>
    <w:p w:rsidR="0028598A" w:rsidRPr="00C96F1A" w:rsidRDefault="00B625AF" w:rsidP="00C96F1A">
      <w:pPr>
        <w:rPr>
          <w:rFonts w:ascii="Arial" w:hAnsi="Arial" w:cs="Arial"/>
        </w:rPr>
      </w:pPr>
      <w:r w:rsidRPr="00C96F1A">
        <w:rPr>
          <w:rFonts w:ascii="Arial" w:hAnsi="Arial" w:cs="Arial"/>
        </w:rPr>
        <w:t>A number of initiatives were also developed specifically for the Games, including the establishment of a Homeless Protocol for People in Public Places to help ensure respectful interactions, and that people in need were referred to relevant services, and the Advance to Zero panel which works to link people in need with appropriate housing.</w:t>
      </w:r>
    </w:p>
    <w:p w:rsidR="0028598A" w:rsidRPr="0065172D" w:rsidRDefault="00B625AF" w:rsidP="00C96F1A">
      <w:pPr>
        <w:rPr>
          <w:rFonts w:ascii="Arial" w:hAnsi="Arial" w:cs="Arial"/>
          <w:i/>
        </w:rPr>
      </w:pPr>
      <w:r w:rsidRPr="0065172D">
        <w:rPr>
          <w:rFonts w:ascii="Arial" w:hAnsi="Arial" w:cs="Arial"/>
          <w:i/>
        </w:rPr>
        <w:t xml:space="preserve">“The Advance to Zero panel is a totally different approach for the housing and homelessness </w:t>
      </w:r>
      <w:r w:rsidR="0065172D" w:rsidRPr="0065172D">
        <w:rPr>
          <w:rFonts w:ascii="Arial" w:hAnsi="Arial" w:cs="Arial"/>
          <w:i/>
        </w:rPr>
        <w:t>sector and</w:t>
      </w:r>
      <w:r w:rsidRPr="0065172D">
        <w:rPr>
          <w:rFonts w:ascii="Arial" w:hAnsi="Arial" w:cs="Arial"/>
          <w:i/>
        </w:rPr>
        <w:t xml:space="preserve"> includes representative agencies and NGOs as well as the department. It has been very successful and will be part of the valuable ongoing legacy left by GC2018.”</w:t>
      </w:r>
    </w:p>
    <w:p w:rsidR="0028598A" w:rsidRPr="00C96F1A" w:rsidRDefault="00B625AF" w:rsidP="00C96F1A">
      <w:pPr>
        <w:rPr>
          <w:rFonts w:ascii="Arial" w:hAnsi="Arial" w:cs="Arial"/>
        </w:rPr>
      </w:pPr>
      <w:r w:rsidRPr="00C96F1A">
        <w:rPr>
          <w:rFonts w:ascii="Arial" w:hAnsi="Arial" w:cs="Arial"/>
        </w:rPr>
        <w:t>Emma Greenhalgh, Project Manager</w:t>
      </w:r>
    </w:p>
    <w:p w:rsidR="0028598A" w:rsidRPr="00C96F1A" w:rsidRDefault="00B625AF" w:rsidP="00C96F1A">
      <w:pPr>
        <w:rPr>
          <w:rFonts w:ascii="Arial" w:hAnsi="Arial" w:cs="Arial"/>
        </w:rPr>
      </w:pPr>
      <w:r w:rsidRPr="00C96F1A">
        <w:rPr>
          <w:rFonts w:ascii="Arial" w:hAnsi="Arial" w:cs="Arial"/>
        </w:rPr>
        <w:t>The department’s Building and Asset Services team worked to deliver maintenance to key service facilities like police and ambulance stations during the Games. They were also responsible for the Rugby Sevens venue, Cbus Super Stadium and the base for security personnel at the Tallebudgera Recreation Centre.</w:t>
      </w:r>
    </w:p>
    <w:p w:rsidR="0028598A" w:rsidRPr="00C96F1A" w:rsidRDefault="00B625AF" w:rsidP="00C96F1A">
      <w:pPr>
        <w:rPr>
          <w:rFonts w:ascii="Arial" w:hAnsi="Arial" w:cs="Arial"/>
        </w:rPr>
      </w:pPr>
      <w:r w:rsidRPr="00C96F1A">
        <w:rPr>
          <w:rFonts w:ascii="Arial" w:hAnsi="Arial" w:cs="Arial"/>
        </w:rPr>
        <w:t xml:space="preserve">Our department’s whole-of-government Cyber Security Unit, within the Queensland Government Chief Information Office played a pivotal role in </w:t>
      </w:r>
      <w:r w:rsidR="00446D6A">
        <w:rPr>
          <w:rFonts w:ascii="Arial" w:hAnsi="Arial" w:cs="Arial"/>
        </w:rPr>
        <w:t>ensuring</w:t>
      </w:r>
      <w:r w:rsidRPr="00C96F1A">
        <w:rPr>
          <w:rFonts w:ascii="Arial" w:hAnsi="Arial" w:cs="Arial"/>
        </w:rPr>
        <w:t xml:space="preserve"> the security of information. During the Games, the unit worked with agencies to prevent potential cyber threats and was responsible for coordinating incident response and information sharing across the Government and its partner organisations.</w:t>
      </w:r>
    </w:p>
    <w:p w:rsidR="0028598A" w:rsidRPr="00C96F1A" w:rsidRDefault="0028598A" w:rsidP="00C96F1A">
      <w:pPr>
        <w:rPr>
          <w:rFonts w:ascii="Arial" w:hAnsi="Arial" w:cs="Arial"/>
        </w:rPr>
        <w:sectPr w:rsidR="0028598A" w:rsidRPr="00C96F1A" w:rsidSect="00C96F1A">
          <w:type w:val="continuous"/>
          <w:pgSz w:w="11910" w:h="16840"/>
          <w:pgMar w:top="1440" w:right="1080" w:bottom="1440" w:left="1080" w:header="720" w:footer="720" w:gutter="0"/>
          <w:cols w:space="720"/>
        </w:sectPr>
      </w:pPr>
    </w:p>
    <w:p w:rsidR="00CC6E4B" w:rsidRDefault="00CC6E4B">
      <w:pPr>
        <w:spacing w:before="0" w:after="0"/>
        <w:rPr>
          <w:rFonts w:asciiTheme="majorHAnsi" w:eastAsiaTheme="majorEastAsia" w:hAnsiTheme="majorHAnsi" w:cstheme="majorBidi"/>
          <w:b/>
          <w:bCs/>
          <w:kern w:val="32"/>
          <w:sz w:val="40"/>
          <w:szCs w:val="32"/>
        </w:rPr>
      </w:pPr>
      <w:r>
        <w:br w:type="page"/>
      </w:r>
    </w:p>
    <w:p w:rsidR="0028598A" w:rsidRPr="00C96F1A" w:rsidRDefault="00B625AF" w:rsidP="0065172D">
      <w:pPr>
        <w:pStyle w:val="Heading1"/>
      </w:pPr>
      <w:bookmarkStart w:id="18" w:name="_Toc528845954"/>
      <w:bookmarkStart w:id="19" w:name="ORGANISATIONAL_STRUCTURE"/>
      <w:r w:rsidRPr="00C96F1A">
        <w:lastRenderedPageBreak/>
        <w:t>Organisational structure</w:t>
      </w:r>
      <w:bookmarkEnd w:id="18"/>
    </w:p>
    <w:bookmarkEnd w:id="19"/>
    <w:p w:rsidR="0028598A" w:rsidRPr="00C96F1A" w:rsidRDefault="00B625AF" w:rsidP="00C96F1A">
      <w:pPr>
        <w:rPr>
          <w:rFonts w:ascii="Arial" w:hAnsi="Arial" w:cs="Arial"/>
        </w:rPr>
      </w:pPr>
      <w:r w:rsidRPr="00C96F1A">
        <w:rPr>
          <w:rFonts w:ascii="Arial" w:hAnsi="Arial" w:cs="Arial"/>
        </w:rPr>
        <w:t>As at 30 June 2018, the department consisted of ten divisions:</w:t>
      </w:r>
    </w:p>
    <w:p w:rsidR="0028598A" w:rsidRPr="0065172D" w:rsidRDefault="00B625AF" w:rsidP="00D806AE">
      <w:pPr>
        <w:pStyle w:val="ListParagraph"/>
        <w:numPr>
          <w:ilvl w:val="0"/>
          <w:numId w:val="13"/>
        </w:numPr>
        <w:rPr>
          <w:rFonts w:ascii="Arial" w:hAnsi="Arial" w:cs="Arial"/>
        </w:rPr>
      </w:pPr>
      <w:r w:rsidRPr="0065172D">
        <w:rPr>
          <w:rFonts w:ascii="Arial" w:hAnsi="Arial" w:cs="Arial"/>
        </w:rPr>
        <w:t>Housing and Homelessness Services</w:t>
      </w:r>
    </w:p>
    <w:p w:rsidR="0028598A" w:rsidRPr="0065172D" w:rsidRDefault="00B625AF" w:rsidP="00D806AE">
      <w:pPr>
        <w:pStyle w:val="ListParagraph"/>
        <w:numPr>
          <w:ilvl w:val="0"/>
          <w:numId w:val="13"/>
        </w:numPr>
        <w:rPr>
          <w:rFonts w:ascii="Arial" w:hAnsi="Arial" w:cs="Arial"/>
        </w:rPr>
      </w:pPr>
      <w:r w:rsidRPr="0065172D">
        <w:rPr>
          <w:rFonts w:ascii="Arial" w:hAnsi="Arial" w:cs="Arial"/>
        </w:rPr>
        <w:t>Public Works and Asset Management</w:t>
      </w:r>
    </w:p>
    <w:p w:rsidR="0028598A" w:rsidRPr="0065172D" w:rsidRDefault="00B625AF" w:rsidP="00D806AE">
      <w:pPr>
        <w:pStyle w:val="ListParagraph"/>
        <w:numPr>
          <w:ilvl w:val="0"/>
          <w:numId w:val="13"/>
        </w:numPr>
        <w:rPr>
          <w:rFonts w:ascii="Arial" w:hAnsi="Arial" w:cs="Arial"/>
        </w:rPr>
      </w:pPr>
      <w:r w:rsidRPr="0065172D">
        <w:rPr>
          <w:rFonts w:ascii="Arial" w:hAnsi="Arial" w:cs="Arial"/>
        </w:rPr>
        <w:t>Sport and Recreation Services</w:t>
      </w:r>
    </w:p>
    <w:p w:rsidR="0028598A" w:rsidRPr="0065172D" w:rsidRDefault="00B625AF" w:rsidP="00D806AE">
      <w:pPr>
        <w:pStyle w:val="ListParagraph"/>
        <w:numPr>
          <w:ilvl w:val="0"/>
          <w:numId w:val="13"/>
        </w:numPr>
        <w:rPr>
          <w:rFonts w:ascii="Arial" w:hAnsi="Arial" w:cs="Arial"/>
        </w:rPr>
      </w:pPr>
      <w:r w:rsidRPr="0065172D">
        <w:rPr>
          <w:rFonts w:ascii="Arial" w:hAnsi="Arial" w:cs="Arial"/>
        </w:rPr>
        <w:t>Building Industry and Policy</w:t>
      </w:r>
    </w:p>
    <w:p w:rsidR="0028598A" w:rsidRPr="0065172D" w:rsidRDefault="00B625AF" w:rsidP="00D806AE">
      <w:pPr>
        <w:pStyle w:val="ListParagraph"/>
        <w:numPr>
          <w:ilvl w:val="0"/>
          <w:numId w:val="13"/>
        </w:numPr>
        <w:rPr>
          <w:rFonts w:ascii="Arial" w:hAnsi="Arial" w:cs="Arial"/>
        </w:rPr>
      </w:pPr>
      <w:r w:rsidRPr="0065172D">
        <w:rPr>
          <w:rFonts w:ascii="Arial" w:hAnsi="Arial" w:cs="Arial"/>
        </w:rPr>
        <w:t>Corporate Services</w:t>
      </w:r>
    </w:p>
    <w:p w:rsidR="0028598A" w:rsidRPr="0065172D" w:rsidRDefault="00B625AF" w:rsidP="00D806AE">
      <w:pPr>
        <w:pStyle w:val="ListParagraph"/>
        <w:numPr>
          <w:ilvl w:val="0"/>
          <w:numId w:val="13"/>
        </w:numPr>
        <w:rPr>
          <w:rFonts w:ascii="Arial" w:hAnsi="Arial" w:cs="Arial"/>
        </w:rPr>
      </w:pPr>
      <w:r w:rsidRPr="0065172D">
        <w:rPr>
          <w:rFonts w:ascii="Arial" w:hAnsi="Arial" w:cs="Arial"/>
        </w:rPr>
        <w:t>Queensland Government Procurement</w:t>
      </w:r>
    </w:p>
    <w:p w:rsidR="0028598A" w:rsidRPr="0065172D" w:rsidRDefault="00B625AF" w:rsidP="00D806AE">
      <w:pPr>
        <w:pStyle w:val="ListParagraph"/>
        <w:numPr>
          <w:ilvl w:val="0"/>
          <w:numId w:val="13"/>
        </w:numPr>
        <w:rPr>
          <w:rFonts w:ascii="Arial" w:hAnsi="Arial" w:cs="Arial"/>
        </w:rPr>
      </w:pPr>
      <w:r w:rsidRPr="0065172D">
        <w:rPr>
          <w:rFonts w:ascii="Arial" w:hAnsi="Arial" w:cs="Arial"/>
        </w:rPr>
        <w:t>Strategic ICT</w:t>
      </w:r>
    </w:p>
    <w:p w:rsidR="0028598A" w:rsidRPr="0065172D" w:rsidRDefault="00B625AF" w:rsidP="00D806AE">
      <w:pPr>
        <w:pStyle w:val="ListParagraph"/>
        <w:numPr>
          <w:ilvl w:val="0"/>
          <w:numId w:val="13"/>
        </w:numPr>
        <w:rPr>
          <w:rFonts w:ascii="Arial" w:hAnsi="Arial" w:cs="Arial"/>
        </w:rPr>
      </w:pPr>
      <w:r w:rsidRPr="0065172D">
        <w:rPr>
          <w:rFonts w:ascii="Arial" w:hAnsi="Arial" w:cs="Arial"/>
        </w:rPr>
        <w:t>Digital Capability, Information and Transaction Based Services</w:t>
      </w:r>
    </w:p>
    <w:p w:rsidR="0028598A" w:rsidRPr="0065172D" w:rsidRDefault="00B625AF" w:rsidP="00D806AE">
      <w:pPr>
        <w:pStyle w:val="ListParagraph"/>
        <w:numPr>
          <w:ilvl w:val="0"/>
          <w:numId w:val="13"/>
        </w:numPr>
        <w:rPr>
          <w:rFonts w:ascii="Arial" w:hAnsi="Arial" w:cs="Arial"/>
        </w:rPr>
      </w:pPr>
      <w:r w:rsidRPr="0065172D">
        <w:rPr>
          <w:rFonts w:ascii="Arial" w:hAnsi="Arial" w:cs="Arial"/>
        </w:rPr>
        <w:t>Queensland Shared Services</w:t>
      </w:r>
    </w:p>
    <w:p w:rsidR="0028598A" w:rsidRPr="0065172D" w:rsidRDefault="00B625AF" w:rsidP="00D806AE">
      <w:pPr>
        <w:pStyle w:val="ListParagraph"/>
        <w:numPr>
          <w:ilvl w:val="0"/>
          <w:numId w:val="13"/>
        </w:numPr>
        <w:rPr>
          <w:rFonts w:ascii="Arial" w:hAnsi="Arial" w:cs="Arial"/>
        </w:rPr>
      </w:pPr>
      <w:r w:rsidRPr="0065172D">
        <w:rPr>
          <w:rFonts w:ascii="Arial" w:hAnsi="Arial" w:cs="Arial"/>
        </w:rPr>
        <w:t>Queensland Government Chief Information Office.</w:t>
      </w:r>
    </w:p>
    <w:p w:rsidR="0028598A" w:rsidRPr="00C96F1A" w:rsidRDefault="0028598A" w:rsidP="00C96F1A">
      <w:pPr>
        <w:rPr>
          <w:rFonts w:ascii="Arial" w:hAnsi="Arial" w:cs="Arial"/>
        </w:rPr>
      </w:pPr>
    </w:p>
    <w:p w:rsidR="0028598A" w:rsidRPr="00C96F1A" w:rsidRDefault="00B625AF" w:rsidP="00C96F1A">
      <w:pPr>
        <w:rPr>
          <w:rFonts w:ascii="Arial" w:hAnsi="Arial" w:cs="Arial"/>
        </w:rPr>
      </w:pPr>
      <w:r w:rsidRPr="00C96F1A">
        <w:rPr>
          <w:rFonts w:ascii="Arial" w:hAnsi="Arial" w:cs="Arial"/>
        </w:rPr>
        <w:t xml:space="preserve">Our services are delivered through a network of regional offices in Queensland. These offices are coordinated by district offices and a central office in Brisbane. The office locations and contact details are on </w:t>
      </w:r>
      <w:r w:rsidRPr="001F4709">
        <w:rPr>
          <w:rFonts w:ascii="Arial" w:hAnsi="Arial" w:cs="Arial"/>
        </w:rPr>
        <w:t xml:space="preserve">pages </w:t>
      </w:r>
      <w:r w:rsidR="008D4D49" w:rsidRPr="001F4709">
        <w:rPr>
          <w:rFonts w:ascii="Arial" w:hAnsi="Arial" w:cs="Arial"/>
        </w:rPr>
        <w:fldChar w:fldCharType="begin"/>
      </w:r>
      <w:r w:rsidR="008D4D49" w:rsidRPr="001F4709">
        <w:rPr>
          <w:rFonts w:ascii="Arial" w:hAnsi="Arial" w:cs="Arial"/>
        </w:rPr>
        <w:instrText xml:space="preserve"> PAGEREF OUR_LOCATIONS \h </w:instrText>
      </w:r>
      <w:r w:rsidR="008D4D49" w:rsidRPr="001F4709">
        <w:rPr>
          <w:rFonts w:ascii="Arial" w:hAnsi="Arial" w:cs="Arial"/>
        </w:rPr>
      </w:r>
      <w:r w:rsidR="008D4D49" w:rsidRPr="001F4709">
        <w:rPr>
          <w:rFonts w:ascii="Arial" w:hAnsi="Arial" w:cs="Arial"/>
        </w:rPr>
        <w:fldChar w:fldCharType="separate"/>
      </w:r>
      <w:r w:rsidR="00791D73">
        <w:rPr>
          <w:rFonts w:ascii="Arial" w:hAnsi="Arial" w:cs="Arial"/>
          <w:noProof/>
        </w:rPr>
        <w:t>92</w:t>
      </w:r>
      <w:r w:rsidR="008D4D49" w:rsidRPr="001F4709">
        <w:rPr>
          <w:rFonts w:ascii="Arial" w:hAnsi="Arial" w:cs="Arial"/>
        </w:rPr>
        <w:fldChar w:fldCharType="end"/>
      </w:r>
      <w:r w:rsidR="008D4D49" w:rsidRPr="001F4709">
        <w:rPr>
          <w:rFonts w:ascii="Arial" w:hAnsi="Arial" w:cs="Arial"/>
        </w:rPr>
        <w:t xml:space="preserve"> </w:t>
      </w:r>
      <w:r w:rsidR="00D806AE" w:rsidRPr="001F4709">
        <w:rPr>
          <w:rFonts w:ascii="Arial" w:hAnsi="Arial" w:cs="Arial"/>
        </w:rPr>
        <w:t xml:space="preserve">to </w:t>
      </w:r>
      <w:r w:rsidR="008D4D49" w:rsidRPr="001F4709">
        <w:rPr>
          <w:rFonts w:ascii="Arial" w:hAnsi="Arial" w:cs="Arial"/>
        </w:rPr>
        <w:fldChar w:fldCharType="begin"/>
      </w:r>
      <w:r w:rsidR="008D4D49" w:rsidRPr="001F4709">
        <w:rPr>
          <w:rFonts w:ascii="Arial" w:hAnsi="Arial" w:cs="Arial"/>
        </w:rPr>
        <w:instrText xml:space="preserve"> PAGEREF END_LOCATIONS \h </w:instrText>
      </w:r>
      <w:r w:rsidR="008D4D49" w:rsidRPr="001F4709">
        <w:rPr>
          <w:rFonts w:ascii="Arial" w:hAnsi="Arial" w:cs="Arial"/>
        </w:rPr>
      </w:r>
      <w:r w:rsidR="008D4D49" w:rsidRPr="001F4709">
        <w:rPr>
          <w:rFonts w:ascii="Arial" w:hAnsi="Arial" w:cs="Arial"/>
        </w:rPr>
        <w:fldChar w:fldCharType="separate"/>
      </w:r>
      <w:r w:rsidR="00791D73">
        <w:rPr>
          <w:rFonts w:ascii="Arial" w:hAnsi="Arial" w:cs="Arial"/>
          <w:noProof/>
        </w:rPr>
        <w:t>100</w:t>
      </w:r>
      <w:r w:rsidR="008D4D49" w:rsidRPr="001F4709">
        <w:rPr>
          <w:rFonts w:ascii="Arial" w:hAnsi="Arial" w:cs="Arial"/>
        </w:rPr>
        <w:fldChar w:fldCharType="end"/>
      </w:r>
      <w:r w:rsidRPr="00C96F1A">
        <w:rPr>
          <w:rFonts w:ascii="Arial" w:hAnsi="Arial" w:cs="Arial"/>
        </w:rPr>
        <w:t>.</w:t>
      </w:r>
    </w:p>
    <w:p w:rsidR="0028598A" w:rsidRPr="00C96F1A" w:rsidRDefault="00B625AF" w:rsidP="0065172D">
      <w:pPr>
        <w:pStyle w:val="Heading3"/>
      </w:pPr>
      <w:bookmarkStart w:id="20" w:name="MOG"/>
      <w:r w:rsidRPr="00C96F1A">
        <w:t>Machinery</w:t>
      </w:r>
      <w:bookmarkEnd w:id="20"/>
      <w:r w:rsidRPr="00C96F1A">
        <w:t>-of-government changes</w:t>
      </w:r>
    </w:p>
    <w:p w:rsidR="0028598A" w:rsidRPr="0065172D" w:rsidRDefault="00B625AF" w:rsidP="00C96F1A">
      <w:pPr>
        <w:rPr>
          <w:rFonts w:ascii="Arial" w:hAnsi="Arial" w:cs="Arial"/>
          <w:b/>
          <w:i/>
        </w:rPr>
      </w:pPr>
      <w:r w:rsidRPr="0065172D">
        <w:rPr>
          <w:rFonts w:ascii="Arial" w:hAnsi="Arial" w:cs="Arial"/>
          <w:b/>
          <w:i/>
        </w:rPr>
        <w:t>Public Service Departmental Arrangements Notice (No.3 and No.4) 2017</w:t>
      </w:r>
    </w:p>
    <w:p w:rsidR="0028598A" w:rsidRPr="00C96F1A" w:rsidRDefault="00B625AF" w:rsidP="00C96F1A">
      <w:pPr>
        <w:rPr>
          <w:rFonts w:ascii="Arial" w:hAnsi="Arial" w:cs="Arial"/>
        </w:rPr>
      </w:pPr>
      <w:r w:rsidRPr="00C96F1A">
        <w:rPr>
          <w:rFonts w:ascii="Arial" w:hAnsi="Arial" w:cs="Arial"/>
        </w:rPr>
        <w:t>Details of transfer:</w:t>
      </w:r>
    </w:p>
    <w:p w:rsidR="0028598A" w:rsidRPr="00C96F1A" w:rsidRDefault="00B625AF" w:rsidP="00C96F1A">
      <w:pPr>
        <w:rPr>
          <w:rFonts w:ascii="Arial" w:hAnsi="Arial" w:cs="Arial"/>
        </w:rPr>
      </w:pPr>
      <w:r w:rsidRPr="00C96F1A">
        <w:rPr>
          <w:rFonts w:ascii="Arial" w:hAnsi="Arial" w:cs="Arial"/>
        </w:rPr>
        <w:t xml:space="preserve">Responsibility for the following functions </w:t>
      </w:r>
      <w:r w:rsidR="00A62B20">
        <w:rPr>
          <w:rFonts w:ascii="Arial" w:hAnsi="Arial" w:cs="Arial"/>
        </w:rPr>
        <w:t>was</w:t>
      </w:r>
      <w:r w:rsidRPr="00C96F1A">
        <w:rPr>
          <w:rFonts w:ascii="Arial" w:hAnsi="Arial" w:cs="Arial"/>
        </w:rPr>
        <w:t xml:space="preserve"> transferred</w:t>
      </w:r>
      <w:r w:rsidR="0065172D">
        <w:rPr>
          <w:rFonts w:ascii="Arial" w:hAnsi="Arial" w:cs="Arial"/>
        </w:rPr>
        <w:t xml:space="preserve"> </w:t>
      </w:r>
      <w:r w:rsidRPr="00C96F1A">
        <w:rPr>
          <w:rFonts w:ascii="Arial" w:hAnsi="Arial" w:cs="Arial"/>
        </w:rPr>
        <w:t>from the former Department of Science, Information Technology and Innovation:</w:t>
      </w:r>
    </w:p>
    <w:p w:rsidR="0028598A" w:rsidRPr="0065172D" w:rsidRDefault="00B625AF" w:rsidP="00D806AE">
      <w:pPr>
        <w:pStyle w:val="ListParagraph"/>
        <w:numPr>
          <w:ilvl w:val="0"/>
          <w:numId w:val="14"/>
        </w:numPr>
        <w:rPr>
          <w:rFonts w:ascii="Arial" w:hAnsi="Arial" w:cs="Arial"/>
        </w:rPr>
      </w:pPr>
      <w:r w:rsidRPr="0065172D">
        <w:rPr>
          <w:rFonts w:ascii="Arial" w:hAnsi="Arial" w:cs="Arial"/>
        </w:rPr>
        <w:t>Smart Service Queensland</w:t>
      </w:r>
    </w:p>
    <w:p w:rsidR="0028598A" w:rsidRPr="0065172D" w:rsidRDefault="00B625AF" w:rsidP="00D806AE">
      <w:pPr>
        <w:pStyle w:val="ListParagraph"/>
        <w:numPr>
          <w:ilvl w:val="0"/>
          <w:numId w:val="14"/>
        </w:numPr>
        <w:rPr>
          <w:rFonts w:ascii="Arial" w:hAnsi="Arial" w:cs="Arial"/>
        </w:rPr>
      </w:pPr>
      <w:r w:rsidRPr="0065172D">
        <w:rPr>
          <w:rFonts w:ascii="Arial" w:hAnsi="Arial" w:cs="Arial"/>
        </w:rPr>
        <w:t>Queensland State Archives</w:t>
      </w:r>
    </w:p>
    <w:p w:rsidR="0028598A" w:rsidRPr="0065172D" w:rsidRDefault="00B625AF" w:rsidP="00D806AE">
      <w:pPr>
        <w:pStyle w:val="ListParagraph"/>
        <w:numPr>
          <w:ilvl w:val="0"/>
          <w:numId w:val="14"/>
        </w:numPr>
        <w:rPr>
          <w:rFonts w:ascii="Arial" w:hAnsi="Arial" w:cs="Arial"/>
        </w:rPr>
      </w:pPr>
      <w:r w:rsidRPr="0065172D">
        <w:rPr>
          <w:rFonts w:ascii="Arial" w:hAnsi="Arial" w:cs="Arial"/>
        </w:rPr>
        <w:t>Strategic ICT including CITEC</w:t>
      </w:r>
    </w:p>
    <w:p w:rsidR="0028598A" w:rsidRPr="0065172D" w:rsidRDefault="00B625AF" w:rsidP="00D806AE">
      <w:pPr>
        <w:pStyle w:val="ListParagraph"/>
        <w:numPr>
          <w:ilvl w:val="0"/>
          <w:numId w:val="14"/>
        </w:numPr>
        <w:rPr>
          <w:rFonts w:ascii="Arial" w:hAnsi="Arial" w:cs="Arial"/>
        </w:rPr>
      </w:pPr>
      <w:r w:rsidRPr="0065172D">
        <w:rPr>
          <w:rFonts w:ascii="Arial" w:hAnsi="Arial" w:cs="Arial"/>
        </w:rPr>
        <w:t>Queensland Shared Services</w:t>
      </w:r>
    </w:p>
    <w:p w:rsidR="0028598A" w:rsidRPr="00C96F1A" w:rsidRDefault="00B625AF" w:rsidP="00C96F1A">
      <w:pPr>
        <w:rPr>
          <w:rFonts w:ascii="Arial" w:hAnsi="Arial" w:cs="Arial"/>
        </w:rPr>
      </w:pPr>
      <w:r w:rsidRPr="00C96F1A">
        <w:rPr>
          <w:rFonts w:ascii="Arial" w:hAnsi="Arial" w:cs="Arial"/>
        </w:rPr>
        <w:t>Responsibility for Sport and Recreation was transferred from the former Department of National Parks, Sport and Racing.</w:t>
      </w:r>
    </w:p>
    <w:p w:rsidR="0028598A" w:rsidRPr="00C96F1A" w:rsidRDefault="00B625AF" w:rsidP="00C96F1A">
      <w:pPr>
        <w:rPr>
          <w:rFonts w:ascii="Arial" w:hAnsi="Arial" w:cs="Arial"/>
        </w:rPr>
      </w:pPr>
      <w:r w:rsidRPr="00C96F1A">
        <w:rPr>
          <w:rFonts w:ascii="Arial" w:hAnsi="Arial" w:cs="Arial"/>
        </w:rPr>
        <w:t>Date of transfer: Effective from 13 December 2017</w:t>
      </w:r>
    </w:p>
    <w:p w:rsidR="0028598A" w:rsidRPr="00C96F1A" w:rsidRDefault="0028598A" w:rsidP="00C96F1A">
      <w:pPr>
        <w:rPr>
          <w:rFonts w:ascii="Arial" w:hAnsi="Arial" w:cs="Arial"/>
        </w:rPr>
      </w:pPr>
    </w:p>
    <w:p w:rsidR="0028598A" w:rsidRPr="0065172D" w:rsidRDefault="00B625AF" w:rsidP="00C96F1A">
      <w:pPr>
        <w:rPr>
          <w:rFonts w:ascii="Arial" w:hAnsi="Arial" w:cs="Arial"/>
          <w:b/>
          <w:i/>
        </w:rPr>
      </w:pPr>
      <w:r w:rsidRPr="0065172D">
        <w:rPr>
          <w:rFonts w:ascii="Arial" w:hAnsi="Arial" w:cs="Arial"/>
          <w:b/>
          <w:i/>
        </w:rPr>
        <w:t>Public Service Departmental Arrangements Notice (No.1) 2018</w:t>
      </w:r>
    </w:p>
    <w:p w:rsidR="0028598A" w:rsidRPr="00C96F1A" w:rsidRDefault="00B625AF" w:rsidP="00C96F1A">
      <w:pPr>
        <w:rPr>
          <w:rFonts w:ascii="Arial" w:hAnsi="Arial" w:cs="Arial"/>
        </w:rPr>
      </w:pPr>
      <w:r w:rsidRPr="00C96F1A">
        <w:rPr>
          <w:rFonts w:ascii="Arial" w:hAnsi="Arial" w:cs="Arial"/>
        </w:rPr>
        <w:t>Details of transfer:</w:t>
      </w:r>
    </w:p>
    <w:p w:rsidR="0028598A" w:rsidRPr="00C96F1A" w:rsidRDefault="00B625AF" w:rsidP="00C96F1A">
      <w:pPr>
        <w:rPr>
          <w:rFonts w:ascii="Arial" w:hAnsi="Arial" w:cs="Arial"/>
        </w:rPr>
      </w:pPr>
      <w:r w:rsidRPr="00C96F1A">
        <w:rPr>
          <w:rFonts w:ascii="Arial" w:hAnsi="Arial" w:cs="Arial"/>
        </w:rPr>
        <w:t xml:space="preserve">Responsibility for the following functions </w:t>
      </w:r>
      <w:r w:rsidR="00A62B20">
        <w:rPr>
          <w:rFonts w:ascii="Arial" w:hAnsi="Arial" w:cs="Arial"/>
        </w:rPr>
        <w:t>was</w:t>
      </w:r>
      <w:r w:rsidRPr="00C96F1A">
        <w:rPr>
          <w:rFonts w:ascii="Arial" w:hAnsi="Arial" w:cs="Arial"/>
        </w:rPr>
        <w:t xml:space="preserve"> transferred from the Department of the Premier and Cabinet:</w:t>
      </w:r>
    </w:p>
    <w:p w:rsidR="0028598A" w:rsidRPr="0065172D" w:rsidRDefault="00B625AF" w:rsidP="00D806AE">
      <w:pPr>
        <w:pStyle w:val="ListParagraph"/>
        <w:numPr>
          <w:ilvl w:val="0"/>
          <w:numId w:val="15"/>
        </w:numPr>
        <w:rPr>
          <w:rFonts w:ascii="Arial" w:hAnsi="Arial" w:cs="Arial"/>
        </w:rPr>
      </w:pPr>
      <w:r w:rsidRPr="0065172D">
        <w:rPr>
          <w:rFonts w:ascii="Arial" w:hAnsi="Arial" w:cs="Arial"/>
        </w:rPr>
        <w:t>One-Stop Shop Strategy and Implementation Office</w:t>
      </w:r>
    </w:p>
    <w:p w:rsidR="0028598A" w:rsidRPr="0065172D" w:rsidRDefault="00B625AF" w:rsidP="00D806AE">
      <w:pPr>
        <w:pStyle w:val="ListParagraph"/>
        <w:numPr>
          <w:ilvl w:val="0"/>
          <w:numId w:val="15"/>
        </w:numPr>
        <w:rPr>
          <w:rFonts w:ascii="Arial" w:hAnsi="Arial" w:cs="Arial"/>
        </w:rPr>
      </w:pPr>
      <w:r w:rsidRPr="0065172D">
        <w:rPr>
          <w:rFonts w:ascii="Arial" w:hAnsi="Arial" w:cs="Arial"/>
        </w:rPr>
        <w:t>Digital Economy and Productivity</w:t>
      </w:r>
    </w:p>
    <w:p w:rsidR="0028598A" w:rsidRPr="0065172D" w:rsidRDefault="00B625AF" w:rsidP="00D806AE">
      <w:pPr>
        <w:pStyle w:val="ListParagraph"/>
        <w:numPr>
          <w:ilvl w:val="0"/>
          <w:numId w:val="15"/>
        </w:numPr>
        <w:rPr>
          <w:rFonts w:ascii="Arial" w:hAnsi="Arial" w:cs="Arial"/>
        </w:rPr>
      </w:pPr>
      <w:r w:rsidRPr="0065172D">
        <w:rPr>
          <w:rFonts w:ascii="Arial" w:hAnsi="Arial" w:cs="Arial"/>
        </w:rPr>
        <w:t>Queensland Government Chief Information Office</w:t>
      </w:r>
    </w:p>
    <w:p w:rsidR="0028598A" w:rsidRPr="00C96F1A" w:rsidRDefault="00B625AF" w:rsidP="00C96F1A">
      <w:pPr>
        <w:rPr>
          <w:rFonts w:ascii="Arial" w:hAnsi="Arial" w:cs="Arial"/>
        </w:rPr>
      </w:pPr>
      <w:r w:rsidRPr="00C96F1A">
        <w:rPr>
          <w:rFonts w:ascii="Arial" w:hAnsi="Arial" w:cs="Arial"/>
        </w:rPr>
        <w:t>Date of transfer: Effective from 1 March 2018</w:t>
      </w:r>
    </w:p>
    <w:p w:rsidR="0028598A" w:rsidRPr="00C96F1A" w:rsidRDefault="0028598A" w:rsidP="00C96F1A">
      <w:pPr>
        <w:rPr>
          <w:rFonts w:ascii="Arial" w:hAnsi="Arial" w:cs="Arial"/>
        </w:rPr>
        <w:sectPr w:rsidR="0028598A" w:rsidRPr="00C96F1A" w:rsidSect="00C96F1A">
          <w:footerReference w:type="even" r:id="rId20"/>
          <w:type w:val="continuous"/>
          <w:pgSz w:w="11910" w:h="16840"/>
          <w:pgMar w:top="1440" w:right="1080" w:bottom="1440" w:left="1080" w:header="720" w:footer="720" w:gutter="0"/>
          <w:cols w:space="720"/>
        </w:sectPr>
      </w:pPr>
    </w:p>
    <w:p w:rsidR="00BC26D0" w:rsidRPr="00C96F1A" w:rsidRDefault="00BC26D0" w:rsidP="00BC26D0">
      <w:pPr>
        <w:pStyle w:val="Heading1"/>
      </w:pPr>
      <w:bookmarkStart w:id="21" w:name="_Toc528845955"/>
      <w:bookmarkStart w:id="22" w:name="ORGANISATIONAL_STRUCTURE_CHART"/>
      <w:r>
        <w:lastRenderedPageBreak/>
        <w:t xml:space="preserve">Our </w:t>
      </w:r>
      <w:r w:rsidRPr="00C96F1A">
        <w:t xml:space="preserve">Organisational </w:t>
      </w:r>
      <w:r>
        <w:t>chart</w:t>
      </w:r>
      <w:bookmarkEnd w:id="21"/>
    </w:p>
    <w:bookmarkEnd w:id="22"/>
    <w:p w:rsidR="0065172D" w:rsidRPr="0065172D" w:rsidRDefault="0065172D" w:rsidP="00265130">
      <w:pPr>
        <w:pStyle w:val="Heading3"/>
      </w:pPr>
      <w:r w:rsidRPr="0065172D">
        <w:t>Minister for Housing and Public Works</w:t>
      </w:r>
    </w:p>
    <w:p w:rsidR="00DA6363" w:rsidRPr="00265130" w:rsidRDefault="00DA6363" w:rsidP="00D806AE">
      <w:pPr>
        <w:pStyle w:val="ListParagraph"/>
        <w:numPr>
          <w:ilvl w:val="0"/>
          <w:numId w:val="110"/>
        </w:numPr>
      </w:pPr>
      <w:r w:rsidRPr="00265130">
        <w:t>Board of Architects</w:t>
      </w:r>
    </w:p>
    <w:p w:rsidR="00DA6363" w:rsidRPr="00265130" w:rsidRDefault="00DA6363" w:rsidP="00D806AE">
      <w:pPr>
        <w:pStyle w:val="ListParagraph"/>
        <w:numPr>
          <w:ilvl w:val="0"/>
          <w:numId w:val="110"/>
        </w:numPr>
      </w:pPr>
      <w:r w:rsidRPr="00265130">
        <w:t>Board of Professional Engineers</w:t>
      </w:r>
    </w:p>
    <w:p w:rsidR="00DA6363" w:rsidRPr="00265130" w:rsidRDefault="00DA6363" w:rsidP="00D806AE">
      <w:pPr>
        <w:pStyle w:val="ListParagraph"/>
        <w:numPr>
          <w:ilvl w:val="0"/>
          <w:numId w:val="110"/>
        </w:numPr>
      </w:pPr>
      <w:r w:rsidRPr="00265130">
        <w:t>Stadiums Queensland</w:t>
      </w:r>
    </w:p>
    <w:p w:rsidR="00DA6363" w:rsidRPr="00265130" w:rsidRDefault="00DA6363" w:rsidP="00D806AE">
      <w:pPr>
        <w:pStyle w:val="ListParagraph"/>
        <w:numPr>
          <w:ilvl w:val="0"/>
          <w:numId w:val="110"/>
        </w:numPr>
      </w:pPr>
      <w:r w:rsidRPr="00265130">
        <w:t>Residential Tenancies Authority</w:t>
      </w:r>
    </w:p>
    <w:p w:rsidR="00DA6363" w:rsidRPr="00265130" w:rsidRDefault="00DA6363" w:rsidP="00D806AE">
      <w:pPr>
        <w:pStyle w:val="ListParagraph"/>
        <w:numPr>
          <w:ilvl w:val="0"/>
          <w:numId w:val="110"/>
        </w:numPr>
      </w:pPr>
      <w:r w:rsidRPr="00265130">
        <w:t>Queensland Building and Construction Commission</w:t>
      </w:r>
    </w:p>
    <w:p w:rsidR="00DA6363" w:rsidRDefault="00DA6363" w:rsidP="00D806AE">
      <w:pPr>
        <w:pStyle w:val="ListParagraph"/>
        <w:numPr>
          <w:ilvl w:val="0"/>
          <w:numId w:val="110"/>
        </w:numPr>
      </w:pPr>
      <w:r w:rsidRPr="00265130">
        <w:t>Department of Housing and Public Works</w:t>
      </w:r>
    </w:p>
    <w:p w:rsidR="00BC26D0" w:rsidRDefault="00265130" w:rsidP="00D806AE">
      <w:pPr>
        <w:pStyle w:val="Heading6"/>
        <w:numPr>
          <w:ilvl w:val="0"/>
          <w:numId w:val="109"/>
        </w:numPr>
      </w:pPr>
      <w:r>
        <w:t>Director-General, Department of Housing and Public Works</w:t>
      </w:r>
    </w:p>
    <w:p w:rsidR="00DA6363" w:rsidRDefault="00DA6363" w:rsidP="00D806AE">
      <w:pPr>
        <w:pStyle w:val="ListParagraph"/>
        <w:numPr>
          <w:ilvl w:val="0"/>
          <w:numId w:val="107"/>
        </w:numPr>
        <w:ind w:left="1080"/>
      </w:pPr>
      <w:r>
        <w:t>Queensland Government Chief Information Office</w:t>
      </w:r>
    </w:p>
    <w:p w:rsidR="00DA6363" w:rsidRPr="00CB5872" w:rsidRDefault="00DA6363" w:rsidP="00D806AE">
      <w:pPr>
        <w:pStyle w:val="ListParagraph"/>
        <w:numPr>
          <w:ilvl w:val="0"/>
          <w:numId w:val="107"/>
        </w:numPr>
        <w:ind w:left="1080"/>
      </w:pPr>
      <w:r w:rsidRPr="00CB5872">
        <w:t>Director, Internal Audit</w:t>
      </w:r>
    </w:p>
    <w:p w:rsidR="00265130" w:rsidRDefault="00265130" w:rsidP="00D806AE">
      <w:pPr>
        <w:pStyle w:val="ListParagraph"/>
        <w:numPr>
          <w:ilvl w:val="0"/>
          <w:numId w:val="107"/>
        </w:numPr>
        <w:ind w:left="1080"/>
      </w:pPr>
      <w:r w:rsidRPr="00265130">
        <w:t xml:space="preserve">Deputy Director-General, </w:t>
      </w:r>
      <w:r>
        <w:t>Sport and Recreation Services</w:t>
      </w:r>
    </w:p>
    <w:p w:rsidR="00CB5872" w:rsidRDefault="00CB5872" w:rsidP="00D806AE">
      <w:pPr>
        <w:pStyle w:val="ListParagraph"/>
        <w:numPr>
          <w:ilvl w:val="0"/>
          <w:numId w:val="108"/>
        </w:numPr>
        <w:ind w:left="1440"/>
      </w:pPr>
      <w:r>
        <w:t>Executive Director, Queensland Academy of Sport</w:t>
      </w:r>
    </w:p>
    <w:p w:rsidR="00CB5872" w:rsidRDefault="00CB5872" w:rsidP="00D806AE">
      <w:pPr>
        <w:pStyle w:val="ListParagraph"/>
        <w:numPr>
          <w:ilvl w:val="0"/>
          <w:numId w:val="108"/>
        </w:numPr>
        <w:ind w:left="1440"/>
      </w:pPr>
      <w:r>
        <w:t>Executive Director, Infrastructure and Regional Delivery</w:t>
      </w:r>
    </w:p>
    <w:p w:rsidR="00CB5872" w:rsidRDefault="00CB5872" w:rsidP="00D806AE">
      <w:pPr>
        <w:pStyle w:val="ListParagraph"/>
        <w:numPr>
          <w:ilvl w:val="0"/>
          <w:numId w:val="108"/>
        </w:numPr>
        <w:ind w:left="1440"/>
      </w:pPr>
      <w:r>
        <w:t>Executive Director, Program Development and Partnerships</w:t>
      </w:r>
    </w:p>
    <w:p w:rsidR="00265130" w:rsidRDefault="00265130" w:rsidP="00D806AE">
      <w:pPr>
        <w:pStyle w:val="ListParagraph"/>
        <w:numPr>
          <w:ilvl w:val="0"/>
          <w:numId w:val="107"/>
        </w:numPr>
        <w:ind w:left="1080"/>
      </w:pPr>
      <w:r w:rsidRPr="00265130">
        <w:t>Deputy Director- General, Digital Capability, Information and Transaction Based Services</w:t>
      </w:r>
    </w:p>
    <w:p w:rsidR="00CB5872" w:rsidRPr="00CB5872" w:rsidRDefault="00CB5872" w:rsidP="00D806AE">
      <w:pPr>
        <w:pStyle w:val="ListParagraph"/>
        <w:numPr>
          <w:ilvl w:val="0"/>
          <w:numId w:val="108"/>
        </w:numPr>
        <w:ind w:left="1440"/>
      </w:pPr>
      <w:r w:rsidRPr="00CB5872">
        <w:t xml:space="preserve">General Manager Smart Service Qld </w:t>
      </w:r>
    </w:p>
    <w:p w:rsidR="00CB5872" w:rsidRPr="00CB5872" w:rsidRDefault="00CB5872" w:rsidP="00D806AE">
      <w:pPr>
        <w:pStyle w:val="ListParagraph"/>
        <w:numPr>
          <w:ilvl w:val="0"/>
          <w:numId w:val="108"/>
        </w:numPr>
        <w:ind w:left="1440"/>
      </w:pPr>
      <w:r w:rsidRPr="00CB5872">
        <w:t xml:space="preserve">Executive Director and State Archivist Queensland State Archives </w:t>
      </w:r>
    </w:p>
    <w:p w:rsidR="00CB5872" w:rsidRPr="00CB5872" w:rsidRDefault="00CB5872" w:rsidP="00D806AE">
      <w:pPr>
        <w:pStyle w:val="ListParagraph"/>
        <w:numPr>
          <w:ilvl w:val="0"/>
          <w:numId w:val="108"/>
        </w:numPr>
        <w:ind w:left="1440"/>
      </w:pPr>
      <w:r w:rsidRPr="00CB5872">
        <w:t>Director Digital Capability Development</w:t>
      </w:r>
    </w:p>
    <w:p w:rsidR="00CB5872" w:rsidRPr="00CB5872" w:rsidRDefault="00CB5872" w:rsidP="00D806AE">
      <w:pPr>
        <w:pStyle w:val="ListParagraph"/>
        <w:numPr>
          <w:ilvl w:val="0"/>
          <w:numId w:val="108"/>
        </w:numPr>
        <w:ind w:left="1440"/>
      </w:pPr>
      <w:r w:rsidRPr="00CB5872">
        <w:t xml:space="preserve">Director Open Data Policy </w:t>
      </w:r>
    </w:p>
    <w:p w:rsidR="00CB5872" w:rsidRPr="00CB5872" w:rsidRDefault="00CB5872" w:rsidP="00D806AE">
      <w:pPr>
        <w:pStyle w:val="ListParagraph"/>
        <w:numPr>
          <w:ilvl w:val="0"/>
          <w:numId w:val="108"/>
        </w:numPr>
        <w:ind w:left="1440"/>
      </w:pPr>
      <w:r w:rsidRPr="00CB5872">
        <w:t xml:space="preserve">General Manager One -Stop Shop Strategy and Implementation Office </w:t>
      </w:r>
    </w:p>
    <w:p w:rsidR="00CB5872" w:rsidRDefault="00CB5872" w:rsidP="00D806AE">
      <w:pPr>
        <w:pStyle w:val="ListParagraph"/>
        <w:numPr>
          <w:ilvl w:val="0"/>
          <w:numId w:val="108"/>
        </w:numPr>
        <w:ind w:left="1440"/>
      </w:pPr>
      <w:r w:rsidRPr="00CB5872">
        <w:t xml:space="preserve">Director Digital Economy Development </w:t>
      </w:r>
    </w:p>
    <w:p w:rsidR="00265130" w:rsidRDefault="00265130" w:rsidP="00D806AE">
      <w:pPr>
        <w:pStyle w:val="ListParagraph"/>
        <w:numPr>
          <w:ilvl w:val="0"/>
          <w:numId w:val="107"/>
        </w:numPr>
        <w:ind w:left="1080"/>
      </w:pPr>
      <w:r>
        <w:t>Assistant Director-General, QLD Shared Services</w:t>
      </w:r>
    </w:p>
    <w:p w:rsidR="00CB5872" w:rsidRPr="006C4115" w:rsidRDefault="00CB5872" w:rsidP="00D806AE">
      <w:pPr>
        <w:pStyle w:val="ListParagraph"/>
        <w:numPr>
          <w:ilvl w:val="0"/>
          <w:numId w:val="108"/>
        </w:numPr>
        <w:ind w:left="1440"/>
      </w:pPr>
      <w:r w:rsidRPr="006C4115">
        <w:t xml:space="preserve">Executive Director Service Delivery </w:t>
      </w:r>
    </w:p>
    <w:p w:rsidR="00CB5872" w:rsidRPr="006C4115" w:rsidRDefault="00CB5872" w:rsidP="00D806AE">
      <w:pPr>
        <w:pStyle w:val="ListParagraph"/>
        <w:numPr>
          <w:ilvl w:val="0"/>
          <w:numId w:val="108"/>
        </w:numPr>
        <w:ind w:left="1440"/>
      </w:pPr>
      <w:r w:rsidRPr="006C4115">
        <w:t xml:space="preserve">Executive Director Systems </w:t>
      </w:r>
    </w:p>
    <w:p w:rsidR="00CB5872" w:rsidRPr="006C4115" w:rsidRDefault="00CB5872" w:rsidP="00D806AE">
      <w:pPr>
        <w:pStyle w:val="ListParagraph"/>
        <w:numPr>
          <w:ilvl w:val="0"/>
          <w:numId w:val="108"/>
        </w:numPr>
        <w:ind w:left="1440"/>
      </w:pPr>
      <w:r w:rsidRPr="006C4115">
        <w:t xml:space="preserve">Executive Director Strategy and Engagement </w:t>
      </w:r>
    </w:p>
    <w:p w:rsidR="00CB5872" w:rsidRDefault="00CB5872" w:rsidP="00D806AE">
      <w:pPr>
        <w:pStyle w:val="ListParagraph"/>
        <w:numPr>
          <w:ilvl w:val="0"/>
          <w:numId w:val="108"/>
        </w:numPr>
        <w:ind w:left="1440"/>
      </w:pPr>
      <w:r w:rsidRPr="006C4115">
        <w:t xml:space="preserve">Director Executive Services </w:t>
      </w:r>
    </w:p>
    <w:p w:rsidR="00265130" w:rsidRDefault="00265130" w:rsidP="00D806AE">
      <w:pPr>
        <w:pStyle w:val="ListParagraph"/>
        <w:numPr>
          <w:ilvl w:val="0"/>
          <w:numId w:val="107"/>
        </w:numPr>
        <w:ind w:left="1080"/>
      </w:pPr>
      <w:r>
        <w:t>Assistant Director-General, Strategic ICT</w:t>
      </w:r>
    </w:p>
    <w:p w:rsidR="006C4115" w:rsidRPr="006C4115" w:rsidRDefault="006C4115" w:rsidP="00D806AE">
      <w:pPr>
        <w:pStyle w:val="ListParagraph"/>
        <w:numPr>
          <w:ilvl w:val="0"/>
          <w:numId w:val="108"/>
        </w:numPr>
        <w:ind w:left="1440"/>
      </w:pPr>
      <w:r w:rsidRPr="006C4115">
        <w:t xml:space="preserve">Executive Director ICT Strategic Project Coordination </w:t>
      </w:r>
    </w:p>
    <w:p w:rsidR="006C4115" w:rsidRPr="006C4115" w:rsidRDefault="006C4115" w:rsidP="00D806AE">
      <w:pPr>
        <w:pStyle w:val="ListParagraph"/>
        <w:numPr>
          <w:ilvl w:val="0"/>
          <w:numId w:val="108"/>
        </w:numPr>
        <w:ind w:left="1440"/>
      </w:pPr>
      <w:r w:rsidRPr="006C4115">
        <w:t xml:space="preserve">General Manager CITEC ICT Services </w:t>
      </w:r>
    </w:p>
    <w:p w:rsidR="006C4115" w:rsidRPr="006C4115" w:rsidRDefault="006C4115" w:rsidP="00D806AE">
      <w:pPr>
        <w:pStyle w:val="ListParagraph"/>
        <w:numPr>
          <w:ilvl w:val="0"/>
          <w:numId w:val="108"/>
        </w:numPr>
        <w:ind w:left="1440"/>
      </w:pPr>
      <w:r w:rsidRPr="006C4115">
        <w:t xml:space="preserve">Executive Director Data Sharing and Analytics </w:t>
      </w:r>
    </w:p>
    <w:p w:rsidR="006C4115" w:rsidRPr="006C4115" w:rsidRDefault="006C4115" w:rsidP="00D806AE">
      <w:pPr>
        <w:pStyle w:val="ListParagraph"/>
        <w:numPr>
          <w:ilvl w:val="0"/>
          <w:numId w:val="108"/>
        </w:numPr>
        <w:ind w:left="1440"/>
      </w:pPr>
      <w:r w:rsidRPr="006C4115">
        <w:t xml:space="preserve">Executive Director ICT Strategic Sourcing </w:t>
      </w:r>
    </w:p>
    <w:p w:rsidR="006C4115" w:rsidRPr="006C4115" w:rsidRDefault="006C4115" w:rsidP="00D806AE">
      <w:pPr>
        <w:pStyle w:val="ListParagraph"/>
        <w:numPr>
          <w:ilvl w:val="0"/>
          <w:numId w:val="108"/>
        </w:numPr>
        <w:ind w:left="1440"/>
      </w:pPr>
      <w:r w:rsidRPr="006C4115">
        <w:t xml:space="preserve">Director Business Planning and Strategic Initiatives </w:t>
      </w:r>
    </w:p>
    <w:p w:rsidR="00265130" w:rsidRDefault="00265130" w:rsidP="00D806AE">
      <w:pPr>
        <w:pStyle w:val="ListParagraph"/>
        <w:numPr>
          <w:ilvl w:val="0"/>
          <w:numId w:val="107"/>
        </w:numPr>
        <w:ind w:left="1080"/>
      </w:pPr>
      <w:r>
        <w:t>Deputy Director-General, Hosing and Homelessness Services</w:t>
      </w:r>
    </w:p>
    <w:p w:rsidR="006C4115" w:rsidRPr="006C4115" w:rsidRDefault="006C4115" w:rsidP="00D806AE">
      <w:pPr>
        <w:pStyle w:val="ListParagraph"/>
        <w:numPr>
          <w:ilvl w:val="0"/>
          <w:numId w:val="108"/>
        </w:numPr>
        <w:ind w:left="1440"/>
      </w:pPr>
      <w:r w:rsidRPr="006C4115">
        <w:t>General Manager, Strategy, Policy and Programs</w:t>
      </w:r>
    </w:p>
    <w:p w:rsidR="006C4115" w:rsidRPr="006C4115" w:rsidRDefault="006C4115" w:rsidP="00D806AE">
      <w:pPr>
        <w:pStyle w:val="ListParagraph"/>
        <w:numPr>
          <w:ilvl w:val="0"/>
          <w:numId w:val="108"/>
        </w:numPr>
        <w:ind w:left="1440"/>
      </w:pPr>
      <w:r w:rsidRPr="006C4115">
        <w:lastRenderedPageBreak/>
        <w:t>Executive Director, Strategy, Policy and Research</w:t>
      </w:r>
    </w:p>
    <w:p w:rsidR="006C4115" w:rsidRPr="006C4115" w:rsidRDefault="006C4115" w:rsidP="00D806AE">
      <w:pPr>
        <w:pStyle w:val="ListParagraph"/>
        <w:numPr>
          <w:ilvl w:val="0"/>
          <w:numId w:val="108"/>
        </w:numPr>
        <w:ind w:left="1440"/>
      </w:pPr>
      <w:r w:rsidRPr="006C4115">
        <w:t>Executive Director, Strategic Projects and Service Innovation</w:t>
      </w:r>
    </w:p>
    <w:p w:rsidR="006C4115" w:rsidRPr="006C4115" w:rsidRDefault="006C4115" w:rsidP="00D806AE">
      <w:pPr>
        <w:pStyle w:val="ListParagraph"/>
        <w:numPr>
          <w:ilvl w:val="0"/>
          <w:numId w:val="108"/>
        </w:numPr>
        <w:ind w:left="1440"/>
      </w:pPr>
      <w:r w:rsidRPr="006C4115">
        <w:t>Executive Director, Programs</w:t>
      </w:r>
    </w:p>
    <w:p w:rsidR="006C4115" w:rsidRPr="006C4115" w:rsidRDefault="006C4115" w:rsidP="00D806AE">
      <w:pPr>
        <w:pStyle w:val="ListParagraph"/>
        <w:numPr>
          <w:ilvl w:val="0"/>
          <w:numId w:val="108"/>
        </w:numPr>
        <w:ind w:left="1440"/>
      </w:pPr>
      <w:r w:rsidRPr="006C4115">
        <w:t>Executive Director, Capital and Assets</w:t>
      </w:r>
    </w:p>
    <w:p w:rsidR="006C4115" w:rsidRPr="006C4115" w:rsidRDefault="006C4115" w:rsidP="00D806AE">
      <w:pPr>
        <w:pStyle w:val="ListParagraph"/>
        <w:numPr>
          <w:ilvl w:val="0"/>
          <w:numId w:val="108"/>
        </w:numPr>
        <w:ind w:left="1440"/>
      </w:pPr>
      <w:r w:rsidRPr="006C4115">
        <w:t>General Manager, Service Delivery</w:t>
      </w:r>
    </w:p>
    <w:p w:rsidR="006C4115" w:rsidRPr="006C4115" w:rsidRDefault="006C4115" w:rsidP="00D806AE">
      <w:pPr>
        <w:pStyle w:val="ListParagraph"/>
        <w:numPr>
          <w:ilvl w:val="0"/>
          <w:numId w:val="108"/>
        </w:numPr>
        <w:ind w:left="1440"/>
      </w:pPr>
      <w:r w:rsidRPr="006C4115">
        <w:t>Executive Director, Service Delivery</w:t>
      </w:r>
    </w:p>
    <w:p w:rsidR="006C4115" w:rsidRPr="006C4115" w:rsidRDefault="006C4115" w:rsidP="00D806AE">
      <w:pPr>
        <w:pStyle w:val="ListParagraph"/>
        <w:numPr>
          <w:ilvl w:val="0"/>
          <w:numId w:val="108"/>
        </w:numPr>
        <w:ind w:left="1440"/>
      </w:pPr>
      <w:r w:rsidRPr="006C4115">
        <w:t>Director, Far North Qld Region</w:t>
      </w:r>
    </w:p>
    <w:p w:rsidR="006C4115" w:rsidRPr="006C4115" w:rsidRDefault="006C4115" w:rsidP="00D806AE">
      <w:pPr>
        <w:pStyle w:val="ListParagraph"/>
        <w:numPr>
          <w:ilvl w:val="0"/>
          <w:numId w:val="108"/>
        </w:numPr>
        <w:ind w:left="1440"/>
      </w:pPr>
      <w:r w:rsidRPr="006C4115">
        <w:t>Director, North Qld Region</w:t>
      </w:r>
    </w:p>
    <w:p w:rsidR="006C4115" w:rsidRPr="006C4115" w:rsidRDefault="006C4115" w:rsidP="00D806AE">
      <w:pPr>
        <w:pStyle w:val="ListParagraph"/>
        <w:numPr>
          <w:ilvl w:val="0"/>
          <w:numId w:val="108"/>
        </w:numPr>
        <w:ind w:left="1440"/>
      </w:pPr>
      <w:r w:rsidRPr="006C4115">
        <w:t>Director, Central Qld/North Coast Region</w:t>
      </w:r>
    </w:p>
    <w:p w:rsidR="006C4115" w:rsidRPr="006C4115" w:rsidRDefault="006C4115" w:rsidP="00D806AE">
      <w:pPr>
        <w:pStyle w:val="ListParagraph"/>
        <w:numPr>
          <w:ilvl w:val="0"/>
          <w:numId w:val="108"/>
        </w:numPr>
        <w:ind w:left="1440"/>
      </w:pPr>
      <w:r w:rsidRPr="006C4115">
        <w:t>Director, Brisbane Region</w:t>
      </w:r>
    </w:p>
    <w:p w:rsidR="006C4115" w:rsidRPr="006C4115" w:rsidRDefault="006C4115" w:rsidP="00D806AE">
      <w:pPr>
        <w:pStyle w:val="ListParagraph"/>
        <w:numPr>
          <w:ilvl w:val="0"/>
          <w:numId w:val="108"/>
        </w:numPr>
        <w:ind w:left="1440"/>
      </w:pPr>
      <w:r w:rsidRPr="006C4115">
        <w:t>Director, South-West Region</w:t>
      </w:r>
    </w:p>
    <w:p w:rsidR="006C4115" w:rsidRPr="006C4115" w:rsidRDefault="006C4115" w:rsidP="00D806AE">
      <w:pPr>
        <w:pStyle w:val="ListParagraph"/>
        <w:numPr>
          <w:ilvl w:val="0"/>
          <w:numId w:val="108"/>
        </w:numPr>
        <w:ind w:left="1440"/>
      </w:pPr>
      <w:r w:rsidRPr="006C4115">
        <w:t>Executive Director, Regulatory Services</w:t>
      </w:r>
    </w:p>
    <w:p w:rsidR="00265130" w:rsidRDefault="00265130" w:rsidP="00D806AE">
      <w:pPr>
        <w:pStyle w:val="ListParagraph"/>
        <w:numPr>
          <w:ilvl w:val="0"/>
          <w:numId w:val="107"/>
        </w:numPr>
        <w:ind w:left="1080"/>
      </w:pPr>
      <w:r w:rsidRPr="00265130">
        <w:t>Assistant Director-General, Queensland Government Procurement</w:t>
      </w:r>
    </w:p>
    <w:p w:rsidR="006C4115" w:rsidRPr="006C4115" w:rsidRDefault="006C4115" w:rsidP="00D806AE">
      <w:pPr>
        <w:pStyle w:val="ListParagraph"/>
        <w:numPr>
          <w:ilvl w:val="0"/>
          <w:numId w:val="108"/>
        </w:numPr>
        <w:ind w:left="1440"/>
      </w:pPr>
      <w:r w:rsidRPr="006C4115">
        <w:t>Executive Director, Office of the Chief Advisor Qld Government Procurement</w:t>
      </w:r>
    </w:p>
    <w:p w:rsidR="006C4115" w:rsidRDefault="006C4115" w:rsidP="00D806AE">
      <w:pPr>
        <w:pStyle w:val="ListParagraph"/>
        <w:numPr>
          <w:ilvl w:val="0"/>
          <w:numId w:val="108"/>
        </w:numPr>
        <w:ind w:left="1440"/>
      </w:pPr>
      <w:r w:rsidRPr="006C4115">
        <w:t>Executive Director, General Goods and Services Category Management</w:t>
      </w:r>
    </w:p>
    <w:p w:rsidR="006C4115" w:rsidRPr="006C4115" w:rsidRDefault="006C4115" w:rsidP="00D806AE">
      <w:pPr>
        <w:pStyle w:val="ListParagraph"/>
        <w:numPr>
          <w:ilvl w:val="0"/>
          <w:numId w:val="108"/>
        </w:numPr>
        <w:ind w:left="1440"/>
      </w:pPr>
      <w:r w:rsidRPr="006C4115">
        <w:t>General Fleet Manger, QFleet</w:t>
      </w:r>
    </w:p>
    <w:p w:rsidR="00265130" w:rsidRDefault="00265130" w:rsidP="00D806AE">
      <w:pPr>
        <w:pStyle w:val="ListParagraph"/>
        <w:numPr>
          <w:ilvl w:val="0"/>
          <w:numId w:val="107"/>
        </w:numPr>
        <w:ind w:left="1080"/>
      </w:pPr>
      <w:r w:rsidRPr="00265130">
        <w:t>Deputy Director-General, Public Works and Asset Management</w:t>
      </w:r>
    </w:p>
    <w:p w:rsidR="006C4115" w:rsidRPr="006C4115" w:rsidRDefault="006C4115" w:rsidP="00D806AE">
      <w:pPr>
        <w:pStyle w:val="ListParagraph"/>
        <w:numPr>
          <w:ilvl w:val="0"/>
          <w:numId w:val="108"/>
        </w:numPr>
        <w:ind w:left="1440"/>
      </w:pPr>
      <w:r w:rsidRPr="006C4115">
        <w:t>Executive Director, Queensland Government Accommodation Office</w:t>
      </w:r>
    </w:p>
    <w:p w:rsidR="006C4115" w:rsidRPr="006C4115" w:rsidRDefault="006C4115" w:rsidP="00D806AE">
      <w:pPr>
        <w:pStyle w:val="ListParagraph"/>
        <w:numPr>
          <w:ilvl w:val="0"/>
          <w:numId w:val="108"/>
        </w:numPr>
        <w:ind w:left="1440"/>
      </w:pPr>
      <w:r w:rsidRPr="006C4115">
        <w:t>Executive Director, Government Employee Housing</w:t>
      </w:r>
    </w:p>
    <w:p w:rsidR="006C4115" w:rsidRPr="006C4115" w:rsidRDefault="006C4115" w:rsidP="00D806AE">
      <w:pPr>
        <w:pStyle w:val="ListParagraph"/>
        <w:numPr>
          <w:ilvl w:val="0"/>
          <w:numId w:val="108"/>
        </w:numPr>
        <w:ind w:left="1440"/>
      </w:pPr>
      <w:r w:rsidRPr="006C4115">
        <w:t>Manager, Disaster Coordination Unit</w:t>
      </w:r>
    </w:p>
    <w:p w:rsidR="006C4115" w:rsidRPr="006C4115" w:rsidRDefault="006C4115" w:rsidP="00D806AE">
      <w:pPr>
        <w:pStyle w:val="ListParagraph"/>
        <w:numPr>
          <w:ilvl w:val="0"/>
          <w:numId w:val="108"/>
        </w:numPr>
        <w:ind w:left="1440"/>
      </w:pPr>
      <w:r w:rsidRPr="006C4115">
        <w:t>General Manager, Building and Asset Services</w:t>
      </w:r>
    </w:p>
    <w:p w:rsidR="006C4115" w:rsidRPr="006C4115" w:rsidRDefault="006C4115" w:rsidP="00D806AE">
      <w:pPr>
        <w:pStyle w:val="ListParagraph"/>
        <w:numPr>
          <w:ilvl w:val="0"/>
          <w:numId w:val="108"/>
        </w:numPr>
        <w:ind w:left="1440"/>
      </w:pPr>
      <w:r w:rsidRPr="006C4115">
        <w:t>Executive Director, Customer Relationships and Program Management</w:t>
      </w:r>
    </w:p>
    <w:p w:rsidR="006C4115" w:rsidRPr="006C4115" w:rsidRDefault="006C4115" w:rsidP="00D806AE">
      <w:pPr>
        <w:pStyle w:val="ListParagraph"/>
        <w:numPr>
          <w:ilvl w:val="0"/>
          <w:numId w:val="108"/>
        </w:numPr>
        <w:ind w:left="1440"/>
      </w:pPr>
      <w:r w:rsidRPr="006C4115">
        <w:t>Executive Director, Technical Services</w:t>
      </w:r>
    </w:p>
    <w:p w:rsidR="006C4115" w:rsidRPr="006C4115" w:rsidRDefault="006C4115" w:rsidP="00D806AE">
      <w:pPr>
        <w:pStyle w:val="ListParagraph"/>
        <w:numPr>
          <w:ilvl w:val="0"/>
          <w:numId w:val="108"/>
        </w:numPr>
        <w:ind w:left="1440"/>
      </w:pPr>
      <w:r w:rsidRPr="006C4115">
        <w:t>Executive Director, Northern Queensland Operations</w:t>
      </w:r>
    </w:p>
    <w:p w:rsidR="006C4115" w:rsidRPr="006C4115" w:rsidRDefault="006C4115" w:rsidP="00D806AE">
      <w:pPr>
        <w:pStyle w:val="ListParagraph"/>
        <w:numPr>
          <w:ilvl w:val="0"/>
          <w:numId w:val="108"/>
        </w:numPr>
        <w:ind w:left="1440"/>
      </w:pPr>
      <w:r w:rsidRPr="006C4115">
        <w:t>Executive Director, Central and Southern Queensland Operations</w:t>
      </w:r>
    </w:p>
    <w:p w:rsidR="006C4115" w:rsidRPr="006C4115" w:rsidRDefault="006C4115" w:rsidP="00D806AE">
      <w:pPr>
        <w:pStyle w:val="ListParagraph"/>
        <w:numPr>
          <w:ilvl w:val="0"/>
          <w:numId w:val="108"/>
        </w:numPr>
        <w:ind w:left="1440"/>
      </w:pPr>
      <w:r w:rsidRPr="006C4115">
        <w:t>Executive Director, South-East Qld Operations</w:t>
      </w:r>
    </w:p>
    <w:p w:rsidR="002E367D" w:rsidRPr="002E367D" w:rsidRDefault="002E367D" w:rsidP="00D806AE">
      <w:pPr>
        <w:pStyle w:val="ListParagraph"/>
        <w:numPr>
          <w:ilvl w:val="0"/>
          <w:numId w:val="107"/>
        </w:numPr>
        <w:ind w:left="1080"/>
      </w:pPr>
      <w:r w:rsidRPr="002E367D">
        <w:t>Assistant Director-General, Building Industry and Policy</w:t>
      </w:r>
    </w:p>
    <w:p w:rsidR="006C4115" w:rsidRDefault="006C4115" w:rsidP="00D806AE">
      <w:pPr>
        <w:pStyle w:val="ListParagraph"/>
        <w:numPr>
          <w:ilvl w:val="0"/>
          <w:numId w:val="108"/>
        </w:numPr>
        <w:ind w:left="1440"/>
      </w:pPr>
      <w:r w:rsidRPr="006C4115">
        <w:t>Executive Director, Building Industry and Policy</w:t>
      </w:r>
    </w:p>
    <w:p w:rsidR="00DA6363" w:rsidRPr="006C4115" w:rsidRDefault="00DA6363" w:rsidP="00D806AE">
      <w:pPr>
        <w:pStyle w:val="ListParagraph"/>
        <w:numPr>
          <w:ilvl w:val="0"/>
          <w:numId w:val="108"/>
        </w:numPr>
        <w:ind w:left="1440"/>
      </w:pPr>
      <w:r w:rsidRPr="006C4115">
        <w:t>Executive Director, Building Construction and Maintenance Category Management</w:t>
      </w:r>
    </w:p>
    <w:p w:rsidR="00DA6363" w:rsidRPr="006C4115" w:rsidRDefault="00DA6363" w:rsidP="00D806AE">
      <w:pPr>
        <w:pStyle w:val="ListParagraph"/>
        <w:numPr>
          <w:ilvl w:val="0"/>
          <w:numId w:val="108"/>
        </w:numPr>
        <w:ind w:left="1440"/>
      </w:pPr>
      <w:r w:rsidRPr="006C4115">
        <w:t>Executive Director, Contract Services</w:t>
      </w:r>
    </w:p>
    <w:p w:rsidR="00DA6363" w:rsidRPr="00DA6363" w:rsidRDefault="00DA6363" w:rsidP="00D806AE">
      <w:pPr>
        <w:pStyle w:val="ListParagraph"/>
        <w:numPr>
          <w:ilvl w:val="0"/>
          <w:numId w:val="108"/>
        </w:numPr>
        <w:ind w:left="1440"/>
      </w:pPr>
      <w:r w:rsidRPr="00DA6363">
        <w:t xml:space="preserve">Executive Director Policy, Practice and Engagement </w:t>
      </w:r>
    </w:p>
    <w:p w:rsidR="002E367D" w:rsidRPr="002E367D" w:rsidRDefault="002E367D" w:rsidP="00D806AE">
      <w:pPr>
        <w:pStyle w:val="ListParagraph"/>
        <w:numPr>
          <w:ilvl w:val="0"/>
          <w:numId w:val="107"/>
        </w:numPr>
        <w:ind w:left="1080"/>
      </w:pPr>
      <w:r w:rsidRPr="002E367D">
        <w:t>Assistant Director-General, Corporate Services</w:t>
      </w:r>
    </w:p>
    <w:p w:rsidR="002E367D" w:rsidRPr="002E367D" w:rsidRDefault="002E367D" w:rsidP="00D806AE">
      <w:pPr>
        <w:pStyle w:val="ListParagraph"/>
        <w:numPr>
          <w:ilvl w:val="0"/>
          <w:numId w:val="108"/>
        </w:numPr>
        <w:ind w:left="1440"/>
      </w:pPr>
      <w:r w:rsidRPr="002E367D">
        <w:t>Chief Information Officer</w:t>
      </w:r>
    </w:p>
    <w:p w:rsidR="002E367D" w:rsidRPr="002E367D" w:rsidRDefault="002E367D" w:rsidP="00D806AE">
      <w:pPr>
        <w:pStyle w:val="ListParagraph"/>
        <w:numPr>
          <w:ilvl w:val="0"/>
          <w:numId w:val="108"/>
        </w:numPr>
        <w:ind w:left="1440"/>
      </w:pPr>
      <w:r w:rsidRPr="002E367D">
        <w:t>Chief Finance Officer</w:t>
      </w:r>
    </w:p>
    <w:p w:rsidR="002E367D" w:rsidRPr="002E367D" w:rsidRDefault="002E367D" w:rsidP="00D806AE">
      <w:pPr>
        <w:pStyle w:val="ListParagraph"/>
        <w:numPr>
          <w:ilvl w:val="0"/>
          <w:numId w:val="108"/>
        </w:numPr>
        <w:ind w:left="1440"/>
      </w:pPr>
      <w:r w:rsidRPr="002E367D">
        <w:t>General Counsel, Legal Services</w:t>
      </w:r>
    </w:p>
    <w:p w:rsidR="002E367D" w:rsidRPr="002E367D" w:rsidRDefault="002E367D" w:rsidP="00D806AE">
      <w:pPr>
        <w:pStyle w:val="ListParagraph"/>
        <w:numPr>
          <w:ilvl w:val="0"/>
          <w:numId w:val="108"/>
        </w:numPr>
        <w:ind w:left="1440"/>
      </w:pPr>
      <w:r w:rsidRPr="002E367D">
        <w:t>Executive Director, Human Resources</w:t>
      </w:r>
    </w:p>
    <w:p w:rsidR="002E367D" w:rsidRPr="002E367D" w:rsidRDefault="002E367D" w:rsidP="00D806AE">
      <w:pPr>
        <w:pStyle w:val="ListParagraph"/>
        <w:numPr>
          <w:ilvl w:val="0"/>
          <w:numId w:val="108"/>
        </w:numPr>
        <w:ind w:left="1440"/>
      </w:pPr>
      <w:r w:rsidRPr="002E367D">
        <w:t>Executive Director, Communication and Engagement</w:t>
      </w:r>
    </w:p>
    <w:p w:rsidR="002E367D" w:rsidRPr="002E367D" w:rsidRDefault="002E367D" w:rsidP="00D806AE">
      <w:pPr>
        <w:pStyle w:val="ListParagraph"/>
        <w:numPr>
          <w:ilvl w:val="0"/>
          <w:numId w:val="108"/>
        </w:numPr>
        <w:ind w:left="1440"/>
      </w:pPr>
      <w:r w:rsidRPr="002E367D">
        <w:lastRenderedPageBreak/>
        <w:t>Director, Executive Services</w:t>
      </w:r>
    </w:p>
    <w:p w:rsidR="002E367D" w:rsidRPr="002E367D" w:rsidRDefault="002E367D" w:rsidP="00D806AE">
      <w:pPr>
        <w:pStyle w:val="ListParagraph"/>
        <w:numPr>
          <w:ilvl w:val="0"/>
          <w:numId w:val="108"/>
        </w:numPr>
        <w:ind w:left="1440"/>
      </w:pPr>
      <w:r w:rsidRPr="002E367D">
        <w:t>Director, Governance, Planning and Performance</w:t>
      </w:r>
    </w:p>
    <w:p w:rsidR="002E367D" w:rsidRPr="002E367D" w:rsidRDefault="002E367D" w:rsidP="00D806AE">
      <w:pPr>
        <w:pStyle w:val="ListParagraph"/>
        <w:numPr>
          <w:ilvl w:val="0"/>
          <w:numId w:val="108"/>
        </w:numPr>
        <w:ind w:left="1440"/>
      </w:pPr>
      <w:r w:rsidRPr="002E367D">
        <w:t>Director, Corporate Programs</w:t>
      </w:r>
    </w:p>
    <w:p w:rsidR="002E367D" w:rsidRPr="002E367D" w:rsidRDefault="002E367D" w:rsidP="00D806AE">
      <w:pPr>
        <w:pStyle w:val="ListParagraph"/>
        <w:numPr>
          <w:ilvl w:val="0"/>
          <w:numId w:val="108"/>
        </w:numPr>
        <w:ind w:left="1440"/>
      </w:pPr>
      <w:r w:rsidRPr="002E367D">
        <w:t>Manager, Housing Appeals and Review</w:t>
      </w:r>
    </w:p>
    <w:p w:rsidR="002E367D" w:rsidRPr="002E367D" w:rsidRDefault="002E367D" w:rsidP="00D806AE">
      <w:pPr>
        <w:pStyle w:val="ListParagraph"/>
        <w:numPr>
          <w:ilvl w:val="0"/>
          <w:numId w:val="108"/>
        </w:numPr>
        <w:ind w:left="1440"/>
      </w:pPr>
      <w:r w:rsidRPr="002E367D">
        <w:t>Manager, Integrity Services</w:t>
      </w:r>
    </w:p>
    <w:p w:rsidR="00BC26D0" w:rsidRPr="00DA6363" w:rsidRDefault="00BC26D0" w:rsidP="00DA6363">
      <w:r w:rsidRPr="00DA6363">
        <w:br w:type="page"/>
      </w:r>
    </w:p>
    <w:p w:rsidR="0028598A" w:rsidRPr="00C96F1A" w:rsidRDefault="00B625AF" w:rsidP="00CF1728">
      <w:pPr>
        <w:pStyle w:val="Heading1"/>
      </w:pPr>
      <w:bookmarkStart w:id="23" w:name="_Toc528845956"/>
      <w:r w:rsidRPr="00C96F1A">
        <w:lastRenderedPageBreak/>
        <w:t>Our highlights</w:t>
      </w:r>
      <w:bookmarkEnd w:id="23"/>
    </w:p>
    <w:p w:rsidR="00CF1728" w:rsidRPr="00C96F1A" w:rsidRDefault="00CF1728" w:rsidP="00CF1728">
      <w:pPr>
        <w:pStyle w:val="Heading6"/>
      </w:pPr>
      <w:r w:rsidRPr="00C96F1A">
        <w:t>Supporting access to government information, for current and future generations</w:t>
      </w:r>
    </w:p>
    <w:p w:rsidR="00CF1728" w:rsidRPr="00CF1728" w:rsidRDefault="00CF1728" w:rsidP="00D806AE">
      <w:pPr>
        <w:pStyle w:val="ListParagraph"/>
        <w:numPr>
          <w:ilvl w:val="0"/>
          <w:numId w:val="17"/>
        </w:numPr>
        <w:rPr>
          <w:rFonts w:ascii="Arial" w:hAnsi="Arial" w:cs="Arial"/>
        </w:rPr>
      </w:pPr>
      <w:r w:rsidRPr="00CF1728">
        <w:rPr>
          <w:rFonts w:ascii="Arial" w:hAnsi="Arial" w:cs="Arial"/>
        </w:rPr>
        <w:t>57% of Queenslanders say it is easy to carry out transactions with the Queensland Government (Kantar Survey, 2017)</w:t>
      </w:r>
    </w:p>
    <w:p w:rsidR="00CF1728" w:rsidRPr="00CF1728" w:rsidRDefault="00CF1728" w:rsidP="00D806AE">
      <w:pPr>
        <w:pStyle w:val="ListParagraph"/>
        <w:numPr>
          <w:ilvl w:val="0"/>
          <w:numId w:val="17"/>
        </w:numPr>
        <w:rPr>
          <w:rFonts w:ascii="Arial" w:hAnsi="Arial" w:cs="Arial"/>
        </w:rPr>
      </w:pPr>
      <w:r w:rsidRPr="00CF1728">
        <w:rPr>
          <w:rFonts w:ascii="Arial" w:hAnsi="Arial" w:cs="Arial"/>
        </w:rPr>
        <w:t>increasing the number of Queensland Government services available online to 437 services</w:t>
      </w:r>
    </w:p>
    <w:p w:rsidR="00CF1728" w:rsidRPr="00CF1728" w:rsidRDefault="00CF1728" w:rsidP="00D806AE">
      <w:pPr>
        <w:pStyle w:val="ListParagraph"/>
        <w:numPr>
          <w:ilvl w:val="0"/>
          <w:numId w:val="17"/>
        </w:numPr>
        <w:rPr>
          <w:rFonts w:ascii="Arial" w:hAnsi="Arial" w:cs="Arial"/>
        </w:rPr>
      </w:pPr>
      <w:r w:rsidRPr="00CF1728">
        <w:rPr>
          <w:rFonts w:ascii="Arial" w:hAnsi="Arial" w:cs="Arial"/>
        </w:rPr>
        <w:t>Over 3,920 customers have used the online Change of Address service to update details for more than 40 government services</w:t>
      </w:r>
    </w:p>
    <w:p w:rsidR="0028598A" w:rsidRPr="00C96F1A" w:rsidRDefault="00B625AF" w:rsidP="00FC4C8F">
      <w:pPr>
        <w:pStyle w:val="Heading6"/>
      </w:pPr>
      <w:r w:rsidRPr="00C96F1A">
        <w:t>Responding to the issue of combustible cladding through the Non-Conforming Building Products Audit Taskforce</w:t>
      </w:r>
    </w:p>
    <w:p w:rsidR="00CF1728" w:rsidRPr="00CF1728" w:rsidRDefault="00CF1728" w:rsidP="00D806AE">
      <w:pPr>
        <w:pStyle w:val="ListParagraph"/>
        <w:numPr>
          <w:ilvl w:val="0"/>
          <w:numId w:val="18"/>
        </w:numPr>
        <w:rPr>
          <w:rFonts w:ascii="Arial" w:hAnsi="Arial" w:cs="Arial"/>
        </w:rPr>
      </w:pPr>
      <w:r w:rsidRPr="00CF1728">
        <w:rPr>
          <w:rFonts w:ascii="Arial" w:hAnsi="Arial" w:cs="Arial"/>
        </w:rPr>
        <w:t>28,000 Queensland Government building approval records reviewed</w:t>
      </w:r>
    </w:p>
    <w:p w:rsidR="00CF1728" w:rsidRPr="00CF1728" w:rsidRDefault="00CF1728" w:rsidP="00D806AE">
      <w:pPr>
        <w:pStyle w:val="ListParagraph"/>
        <w:numPr>
          <w:ilvl w:val="0"/>
          <w:numId w:val="18"/>
        </w:numPr>
        <w:rPr>
          <w:rFonts w:ascii="Arial" w:hAnsi="Arial" w:cs="Arial"/>
        </w:rPr>
      </w:pPr>
      <w:r w:rsidRPr="00CF1728">
        <w:rPr>
          <w:rFonts w:ascii="Arial" w:hAnsi="Arial" w:cs="Arial"/>
        </w:rPr>
        <w:t>995 Government building assessments completed</w:t>
      </w:r>
    </w:p>
    <w:p w:rsidR="00CF1728" w:rsidRPr="00CF1728" w:rsidRDefault="00CF1728" w:rsidP="00D806AE">
      <w:pPr>
        <w:pStyle w:val="ListParagraph"/>
        <w:numPr>
          <w:ilvl w:val="0"/>
          <w:numId w:val="18"/>
        </w:numPr>
        <w:rPr>
          <w:rFonts w:ascii="Arial" w:hAnsi="Arial" w:cs="Arial"/>
        </w:rPr>
      </w:pPr>
      <w:r w:rsidRPr="00CF1728">
        <w:rPr>
          <w:rFonts w:ascii="Arial" w:hAnsi="Arial" w:cs="Arial"/>
        </w:rPr>
        <w:t>172 of government buildings assessed were referred back to the building owner or agency for further investigation</w:t>
      </w:r>
    </w:p>
    <w:p w:rsidR="0028598A" w:rsidRPr="00CF1728" w:rsidRDefault="00B625AF" w:rsidP="00D806AE">
      <w:pPr>
        <w:pStyle w:val="ListParagraph"/>
        <w:numPr>
          <w:ilvl w:val="0"/>
          <w:numId w:val="18"/>
        </w:numPr>
        <w:rPr>
          <w:rFonts w:ascii="Arial" w:hAnsi="Arial" w:cs="Arial"/>
        </w:rPr>
      </w:pPr>
      <w:r w:rsidRPr="00CF1728">
        <w:rPr>
          <w:rFonts w:ascii="Arial" w:hAnsi="Arial" w:cs="Arial"/>
        </w:rPr>
        <w:t>12,000</w:t>
      </w:r>
      <w:r w:rsidR="00CF1728" w:rsidRPr="00CF1728">
        <w:rPr>
          <w:rFonts w:ascii="Arial" w:hAnsi="Arial" w:cs="Arial"/>
        </w:rPr>
        <w:t xml:space="preserve"> </w:t>
      </w:r>
      <w:r w:rsidRPr="00CF1728">
        <w:rPr>
          <w:rFonts w:ascii="Arial" w:hAnsi="Arial" w:cs="Arial"/>
        </w:rPr>
        <w:t>privately-owned buildings estimated to require review</w:t>
      </w:r>
    </w:p>
    <w:p w:rsidR="0028598A" w:rsidRPr="00CF1728" w:rsidRDefault="00B625AF" w:rsidP="00D806AE">
      <w:pPr>
        <w:pStyle w:val="ListParagraph"/>
        <w:numPr>
          <w:ilvl w:val="0"/>
          <w:numId w:val="18"/>
        </w:numPr>
        <w:rPr>
          <w:rFonts w:ascii="Arial" w:hAnsi="Arial" w:cs="Arial"/>
        </w:rPr>
      </w:pPr>
      <w:r w:rsidRPr="00CF1728">
        <w:rPr>
          <w:rFonts w:ascii="Arial" w:hAnsi="Arial" w:cs="Arial"/>
        </w:rPr>
        <w:t>10%</w:t>
      </w:r>
      <w:r w:rsidR="00CF1728" w:rsidRPr="00CF1728">
        <w:rPr>
          <w:rFonts w:ascii="Arial" w:hAnsi="Arial" w:cs="Arial"/>
        </w:rPr>
        <w:t xml:space="preserve"> </w:t>
      </w:r>
      <w:r w:rsidRPr="00CF1728">
        <w:rPr>
          <w:rFonts w:ascii="Arial" w:hAnsi="Arial" w:cs="Arial"/>
        </w:rPr>
        <w:t>of privately-owned buildings may need detailed assessment</w:t>
      </w:r>
    </w:p>
    <w:p w:rsidR="0028598A" w:rsidRPr="00C96F1A" w:rsidRDefault="00B625AF" w:rsidP="00FC4C8F">
      <w:pPr>
        <w:pStyle w:val="Heading6"/>
      </w:pPr>
      <w:r w:rsidRPr="00C96F1A">
        <w:t>Providing cyber security and intelligence to the Queensland Government</w:t>
      </w:r>
    </w:p>
    <w:p w:rsidR="0028598A" w:rsidRPr="00CF1728" w:rsidRDefault="00B625AF" w:rsidP="00D806AE">
      <w:pPr>
        <w:pStyle w:val="ListParagraph"/>
        <w:numPr>
          <w:ilvl w:val="0"/>
          <w:numId w:val="19"/>
        </w:numPr>
        <w:rPr>
          <w:rFonts w:ascii="Arial" w:hAnsi="Arial" w:cs="Arial"/>
        </w:rPr>
      </w:pPr>
      <w:r w:rsidRPr="00CF1728">
        <w:rPr>
          <w:rFonts w:ascii="Arial" w:hAnsi="Arial" w:cs="Arial"/>
        </w:rPr>
        <w:t>prevented 19 denial of service attacks</w:t>
      </w:r>
    </w:p>
    <w:p w:rsidR="0028598A" w:rsidRPr="00CF1728" w:rsidRDefault="00B625AF" w:rsidP="00D806AE">
      <w:pPr>
        <w:pStyle w:val="ListParagraph"/>
        <w:numPr>
          <w:ilvl w:val="0"/>
          <w:numId w:val="19"/>
        </w:numPr>
        <w:rPr>
          <w:rFonts w:ascii="Arial" w:hAnsi="Arial" w:cs="Arial"/>
        </w:rPr>
      </w:pPr>
      <w:r w:rsidRPr="00CF1728">
        <w:rPr>
          <w:rFonts w:ascii="Arial" w:hAnsi="Arial" w:cs="Arial"/>
        </w:rPr>
        <w:t>blocked an average of</w:t>
      </w:r>
      <w:r w:rsidR="00CF1728" w:rsidRPr="00CF1728">
        <w:rPr>
          <w:rFonts w:ascii="Arial" w:hAnsi="Arial" w:cs="Arial"/>
        </w:rPr>
        <w:t xml:space="preserve"> </w:t>
      </w:r>
      <w:r w:rsidRPr="00CF1728">
        <w:rPr>
          <w:rFonts w:ascii="Arial" w:hAnsi="Arial" w:cs="Arial"/>
        </w:rPr>
        <w:t>8,000 malicious</w:t>
      </w:r>
      <w:r w:rsidR="00CF1728" w:rsidRPr="00CF1728">
        <w:rPr>
          <w:rFonts w:ascii="Arial" w:hAnsi="Arial" w:cs="Arial"/>
        </w:rPr>
        <w:t xml:space="preserve"> </w:t>
      </w:r>
      <w:r w:rsidRPr="00CF1728">
        <w:rPr>
          <w:rFonts w:ascii="Arial" w:hAnsi="Arial" w:cs="Arial"/>
        </w:rPr>
        <w:t>DNS requests per minute</w:t>
      </w:r>
    </w:p>
    <w:p w:rsidR="0028598A" w:rsidRPr="00CF1728" w:rsidRDefault="00B625AF" w:rsidP="00D806AE">
      <w:pPr>
        <w:pStyle w:val="ListParagraph"/>
        <w:numPr>
          <w:ilvl w:val="0"/>
          <w:numId w:val="19"/>
        </w:numPr>
        <w:rPr>
          <w:rFonts w:ascii="Arial" w:hAnsi="Arial" w:cs="Arial"/>
        </w:rPr>
      </w:pPr>
      <w:r w:rsidRPr="00CF1728">
        <w:rPr>
          <w:rFonts w:ascii="Arial" w:hAnsi="Arial" w:cs="Arial"/>
        </w:rPr>
        <w:t>collected and analysed an average of 400 million events per day from over 130 sources</w:t>
      </w:r>
    </w:p>
    <w:p w:rsidR="0028598A" w:rsidRPr="00C96F1A" w:rsidRDefault="00B625AF" w:rsidP="00FC4C8F">
      <w:pPr>
        <w:pStyle w:val="Heading6"/>
      </w:pPr>
      <w:r w:rsidRPr="00C96F1A">
        <w:t>The Buy Queensland approach to procurement supports the government’s commitment to increase spend with Aboriginal businesses and Torres Strait Islander businesses.</w:t>
      </w:r>
    </w:p>
    <w:p w:rsidR="0028598A" w:rsidRPr="00C96F1A" w:rsidRDefault="00B625AF" w:rsidP="00C96F1A">
      <w:pPr>
        <w:rPr>
          <w:rFonts w:ascii="Arial" w:hAnsi="Arial" w:cs="Arial"/>
        </w:rPr>
      </w:pPr>
      <w:r w:rsidRPr="00C96F1A">
        <w:rPr>
          <w:rFonts w:ascii="Arial" w:hAnsi="Arial" w:cs="Arial"/>
        </w:rPr>
        <w:t>The Office of the Chief Advisor</w:t>
      </w:r>
      <w:r w:rsidR="00A62B20">
        <w:rPr>
          <w:rFonts w:ascii="Arial" w:hAnsi="Arial" w:cs="Arial"/>
        </w:rPr>
        <w:t xml:space="preserve">, </w:t>
      </w:r>
      <w:r w:rsidRPr="00C96F1A">
        <w:rPr>
          <w:rFonts w:ascii="Arial" w:hAnsi="Arial" w:cs="Arial"/>
        </w:rPr>
        <w:t>Procurement</w:t>
      </w:r>
      <w:r w:rsidR="00A62B20">
        <w:rPr>
          <w:rFonts w:ascii="Arial" w:hAnsi="Arial" w:cs="Arial"/>
        </w:rPr>
        <w:t xml:space="preserve">, </w:t>
      </w:r>
      <w:r w:rsidRPr="00C96F1A">
        <w:rPr>
          <w:rFonts w:ascii="Arial" w:hAnsi="Arial" w:cs="Arial"/>
        </w:rPr>
        <w:t>has supported increasing procurement spend with Aboriginal businesses and</w:t>
      </w:r>
      <w:r w:rsidR="0012555A">
        <w:rPr>
          <w:rFonts w:ascii="Arial" w:hAnsi="Arial" w:cs="Arial"/>
        </w:rPr>
        <w:t xml:space="preserve"> </w:t>
      </w:r>
      <w:r w:rsidRPr="00C96F1A">
        <w:rPr>
          <w:rFonts w:ascii="Arial" w:hAnsi="Arial" w:cs="Arial"/>
        </w:rPr>
        <w:t>Torres Strait Islander businesses by:</w:t>
      </w:r>
    </w:p>
    <w:p w:rsidR="0028598A" w:rsidRPr="0012555A" w:rsidRDefault="00B625AF" w:rsidP="00D806AE">
      <w:pPr>
        <w:pStyle w:val="ListParagraph"/>
        <w:numPr>
          <w:ilvl w:val="0"/>
          <w:numId w:val="20"/>
        </w:numPr>
        <w:rPr>
          <w:rFonts w:ascii="Arial" w:hAnsi="Arial" w:cs="Arial"/>
        </w:rPr>
      </w:pPr>
      <w:r w:rsidRPr="0012555A">
        <w:rPr>
          <w:rFonts w:ascii="Arial" w:hAnsi="Arial" w:cs="Arial"/>
        </w:rPr>
        <w:t>reflecting the government’s target within the Queensland Procurement Policy</w:t>
      </w:r>
    </w:p>
    <w:p w:rsidR="0028598A" w:rsidRPr="0012555A" w:rsidRDefault="00B625AF" w:rsidP="00D806AE">
      <w:pPr>
        <w:pStyle w:val="ListParagraph"/>
        <w:numPr>
          <w:ilvl w:val="0"/>
          <w:numId w:val="20"/>
        </w:numPr>
        <w:rPr>
          <w:rFonts w:ascii="Arial" w:hAnsi="Arial" w:cs="Arial"/>
        </w:rPr>
      </w:pPr>
      <w:r w:rsidRPr="0012555A">
        <w:rPr>
          <w:rFonts w:ascii="Arial" w:hAnsi="Arial" w:cs="Arial"/>
        </w:rPr>
        <w:t>using its social procurement commitment to increase procurement which also delivers social benefit for Queenslanders</w:t>
      </w:r>
    </w:p>
    <w:p w:rsidR="0028598A" w:rsidRDefault="00B625AF" w:rsidP="00D806AE">
      <w:pPr>
        <w:pStyle w:val="ListParagraph"/>
        <w:numPr>
          <w:ilvl w:val="0"/>
          <w:numId w:val="20"/>
        </w:numPr>
        <w:rPr>
          <w:rFonts w:ascii="Arial" w:hAnsi="Arial" w:cs="Arial"/>
        </w:rPr>
      </w:pPr>
      <w:r w:rsidRPr="0012555A">
        <w:rPr>
          <w:rFonts w:ascii="Arial" w:hAnsi="Arial" w:cs="Arial"/>
        </w:rPr>
        <w:t>supporting the roll out of the local</w:t>
      </w:r>
      <w:r w:rsidR="0012555A" w:rsidRPr="0012555A">
        <w:rPr>
          <w:rFonts w:ascii="Arial" w:hAnsi="Arial" w:cs="Arial"/>
        </w:rPr>
        <w:t xml:space="preserve"> </w:t>
      </w:r>
      <w:r w:rsidRPr="0012555A">
        <w:rPr>
          <w:rFonts w:ascii="Arial" w:hAnsi="Arial" w:cs="Arial"/>
        </w:rPr>
        <w:t>benefits test in procurement,</w:t>
      </w:r>
      <w:r w:rsidR="0012555A" w:rsidRPr="0012555A">
        <w:rPr>
          <w:rFonts w:ascii="Arial" w:hAnsi="Arial" w:cs="Arial"/>
        </w:rPr>
        <w:t xml:space="preserve"> </w:t>
      </w:r>
      <w:r w:rsidRPr="0012555A">
        <w:rPr>
          <w:rFonts w:ascii="Arial" w:hAnsi="Arial" w:cs="Arial"/>
        </w:rPr>
        <w:t>to help provide viable pathways that</w:t>
      </w:r>
      <w:r w:rsidR="0012555A">
        <w:rPr>
          <w:rFonts w:ascii="Arial" w:hAnsi="Arial" w:cs="Arial"/>
        </w:rPr>
        <w:t xml:space="preserve"> support employment and increase economic participation</w:t>
      </w:r>
    </w:p>
    <w:p w:rsidR="0028598A" w:rsidRPr="00C96F1A" w:rsidRDefault="00B625AF" w:rsidP="00FC4C8F">
      <w:pPr>
        <w:pStyle w:val="Heading6"/>
      </w:pPr>
      <w:r w:rsidRPr="00C96F1A">
        <w:t>Delivering more social and affordable homes for Queensland</w:t>
      </w:r>
    </w:p>
    <w:p w:rsidR="00534FED" w:rsidRPr="00534FED" w:rsidRDefault="00B625AF" w:rsidP="00D806AE">
      <w:pPr>
        <w:pStyle w:val="ListParagraph"/>
        <w:numPr>
          <w:ilvl w:val="0"/>
          <w:numId w:val="21"/>
        </w:numPr>
        <w:rPr>
          <w:rFonts w:ascii="Arial" w:hAnsi="Arial" w:cs="Arial"/>
        </w:rPr>
      </w:pPr>
      <w:r w:rsidRPr="00534FED">
        <w:rPr>
          <w:rFonts w:ascii="Arial" w:hAnsi="Arial" w:cs="Arial"/>
        </w:rPr>
        <w:t>82%</w:t>
      </w:r>
      <w:r w:rsidR="00534FED" w:rsidRPr="00534FED">
        <w:rPr>
          <w:rFonts w:ascii="Arial" w:hAnsi="Arial" w:cs="Arial"/>
        </w:rPr>
        <w:t xml:space="preserve"> of houses built to gold or platinum livable </w:t>
      </w:r>
      <w:r w:rsidR="005C2FC2">
        <w:rPr>
          <w:rFonts w:ascii="Arial" w:hAnsi="Arial" w:cs="Arial"/>
        </w:rPr>
        <w:t>H</w:t>
      </w:r>
      <w:r w:rsidR="00534FED" w:rsidRPr="00534FED">
        <w:rPr>
          <w:rFonts w:ascii="Arial" w:hAnsi="Arial" w:cs="Arial"/>
        </w:rPr>
        <w:t xml:space="preserve">ousing </w:t>
      </w:r>
      <w:r w:rsidR="005C2FC2">
        <w:rPr>
          <w:rFonts w:ascii="Arial" w:hAnsi="Arial" w:cs="Arial"/>
        </w:rPr>
        <w:t>D</w:t>
      </w:r>
      <w:r w:rsidR="00534FED" w:rsidRPr="00534FED">
        <w:rPr>
          <w:rFonts w:ascii="Arial" w:hAnsi="Arial" w:cs="Arial"/>
        </w:rPr>
        <w:t xml:space="preserve">esign </w:t>
      </w:r>
      <w:r w:rsidR="005C2FC2">
        <w:rPr>
          <w:rFonts w:ascii="Arial" w:hAnsi="Arial" w:cs="Arial"/>
        </w:rPr>
        <w:t>S</w:t>
      </w:r>
      <w:r w:rsidR="00534FED" w:rsidRPr="00534FED">
        <w:rPr>
          <w:rFonts w:ascii="Arial" w:hAnsi="Arial" w:cs="Arial"/>
        </w:rPr>
        <w:t>tandards</w:t>
      </w:r>
    </w:p>
    <w:p w:rsidR="00534FED" w:rsidRPr="00534FED" w:rsidRDefault="00B625AF" w:rsidP="00D806AE">
      <w:pPr>
        <w:pStyle w:val="ListParagraph"/>
        <w:numPr>
          <w:ilvl w:val="0"/>
          <w:numId w:val="21"/>
        </w:numPr>
        <w:rPr>
          <w:rFonts w:ascii="Arial" w:hAnsi="Arial" w:cs="Arial"/>
        </w:rPr>
      </w:pPr>
      <w:r w:rsidRPr="00534FED">
        <w:rPr>
          <w:rFonts w:ascii="Arial" w:hAnsi="Arial" w:cs="Arial"/>
        </w:rPr>
        <w:t>591</w:t>
      </w:r>
      <w:r w:rsidR="00534FED" w:rsidRPr="00534FED">
        <w:rPr>
          <w:rFonts w:ascii="Arial" w:hAnsi="Arial" w:cs="Arial"/>
        </w:rPr>
        <w:t xml:space="preserve"> new social housing dwellings delivered</w:t>
      </w:r>
    </w:p>
    <w:p w:rsidR="00534FED" w:rsidRPr="00534FED" w:rsidRDefault="00B625AF" w:rsidP="00D806AE">
      <w:pPr>
        <w:pStyle w:val="ListParagraph"/>
        <w:numPr>
          <w:ilvl w:val="0"/>
          <w:numId w:val="21"/>
        </w:numPr>
        <w:rPr>
          <w:rFonts w:ascii="Arial" w:hAnsi="Arial" w:cs="Arial"/>
        </w:rPr>
      </w:pPr>
      <w:r w:rsidRPr="00534FED">
        <w:rPr>
          <w:rFonts w:ascii="Arial" w:hAnsi="Arial" w:cs="Arial"/>
        </w:rPr>
        <w:t>97</w:t>
      </w:r>
      <w:r w:rsidR="00534FED" w:rsidRPr="00534FED">
        <w:rPr>
          <w:rFonts w:ascii="Arial" w:hAnsi="Arial" w:cs="Arial"/>
        </w:rPr>
        <w:t xml:space="preserve"> new homes commenced through capital grants in partnership with community housing organisations</w:t>
      </w:r>
    </w:p>
    <w:p w:rsidR="00FC4C8F" w:rsidRPr="00C96F1A" w:rsidRDefault="00FC4C8F" w:rsidP="00FC4C8F">
      <w:pPr>
        <w:pStyle w:val="Heading6"/>
      </w:pPr>
      <w:r w:rsidRPr="00C96F1A">
        <w:t>Investing in places, spaces and services</w:t>
      </w:r>
    </w:p>
    <w:p w:rsidR="00534FED" w:rsidRPr="00A62B20" w:rsidRDefault="00FC4C8F" w:rsidP="00D806AE">
      <w:pPr>
        <w:pStyle w:val="ListParagraph"/>
        <w:numPr>
          <w:ilvl w:val="0"/>
          <w:numId w:val="55"/>
        </w:numPr>
        <w:rPr>
          <w:rFonts w:ascii="Arial" w:hAnsi="Arial" w:cs="Arial"/>
        </w:rPr>
      </w:pPr>
      <w:r w:rsidRPr="00A62B20">
        <w:rPr>
          <w:rFonts w:ascii="Arial" w:hAnsi="Arial" w:cs="Arial"/>
        </w:rPr>
        <w:t xml:space="preserve">549 </w:t>
      </w:r>
      <w:r w:rsidR="00534FED" w:rsidRPr="00A62B20">
        <w:rPr>
          <w:rFonts w:ascii="Arial" w:hAnsi="Arial" w:cs="Arial"/>
        </w:rPr>
        <w:t>local sport and recreation clubs were</w:t>
      </w:r>
      <w:r w:rsidR="009A7BE8" w:rsidRPr="00A62B20">
        <w:rPr>
          <w:rFonts w:ascii="Arial" w:hAnsi="Arial" w:cs="Arial"/>
        </w:rPr>
        <w:t xml:space="preserve"> supported </w:t>
      </w:r>
      <w:r w:rsidR="00A62B20" w:rsidRPr="00A62B20">
        <w:rPr>
          <w:rFonts w:ascii="Arial" w:hAnsi="Arial" w:cs="Arial"/>
        </w:rPr>
        <w:t xml:space="preserve">with $3.5 million </w:t>
      </w:r>
      <w:r w:rsidR="009A7BE8" w:rsidRPr="00A62B20">
        <w:rPr>
          <w:rFonts w:ascii="Arial" w:hAnsi="Arial" w:cs="Arial"/>
        </w:rPr>
        <w:t>under Get Going Clubs to improve their capabilities to better deliver activities</w:t>
      </w:r>
    </w:p>
    <w:p w:rsidR="00FC4C8F" w:rsidRPr="00A62B20" w:rsidRDefault="00FC4C8F" w:rsidP="00D806AE">
      <w:pPr>
        <w:pStyle w:val="ListParagraph"/>
        <w:numPr>
          <w:ilvl w:val="0"/>
          <w:numId w:val="55"/>
        </w:numPr>
        <w:rPr>
          <w:rFonts w:ascii="Arial" w:hAnsi="Arial" w:cs="Arial"/>
        </w:rPr>
      </w:pPr>
      <w:r w:rsidRPr="00A62B20">
        <w:rPr>
          <w:rFonts w:ascii="Arial" w:hAnsi="Arial" w:cs="Arial"/>
        </w:rPr>
        <w:lastRenderedPageBreak/>
        <w:t xml:space="preserve">160 nationally accredited training programs in coaching, officiating and sports first aid </w:t>
      </w:r>
      <w:r w:rsidR="00A62B20" w:rsidRPr="00A62B20">
        <w:rPr>
          <w:rFonts w:ascii="Arial" w:hAnsi="Arial" w:cs="Arial"/>
        </w:rPr>
        <w:t xml:space="preserve">were delivered </w:t>
      </w:r>
      <w:r w:rsidRPr="00A62B20">
        <w:rPr>
          <w:rFonts w:ascii="Arial" w:hAnsi="Arial" w:cs="Arial"/>
        </w:rPr>
        <w:t>to more than 2,370 participants</w:t>
      </w:r>
    </w:p>
    <w:p w:rsidR="0028598A" w:rsidRPr="00A62B20" w:rsidRDefault="00B625AF" w:rsidP="00D806AE">
      <w:pPr>
        <w:pStyle w:val="ListParagraph"/>
        <w:numPr>
          <w:ilvl w:val="0"/>
          <w:numId w:val="55"/>
        </w:numPr>
        <w:rPr>
          <w:rFonts w:ascii="Arial" w:hAnsi="Arial" w:cs="Arial"/>
        </w:rPr>
      </w:pPr>
      <w:r w:rsidRPr="00A62B20">
        <w:rPr>
          <w:rFonts w:ascii="Arial" w:hAnsi="Arial" w:cs="Arial"/>
        </w:rPr>
        <w:t>165</w:t>
      </w:r>
      <w:r w:rsidR="00FC4C8F" w:rsidRPr="00A62B20">
        <w:rPr>
          <w:rFonts w:ascii="Arial" w:hAnsi="Arial" w:cs="Arial"/>
        </w:rPr>
        <w:t xml:space="preserve"> </w:t>
      </w:r>
      <w:r w:rsidRPr="00A62B20">
        <w:rPr>
          <w:rFonts w:ascii="Arial" w:hAnsi="Arial" w:cs="Arial"/>
        </w:rPr>
        <w:t>free Building Active Communities Workshops were delivered to</w:t>
      </w:r>
      <w:r w:rsidR="009A7BE8" w:rsidRPr="00A62B20">
        <w:rPr>
          <w:rFonts w:ascii="Arial" w:hAnsi="Arial" w:cs="Arial"/>
        </w:rPr>
        <w:t xml:space="preserve"> </w:t>
      </w:r>
      <w:r w:rsidRPr="00A62B20">
        <w:rPr>
          <w:rFonts w:ascii="Arial" w:hAnsi="Arial" w:cs="Arial"/>
        </w:rPr>
        <w:t>3,494 participants</w:t>
      </w:r>
      <w:r w:rsidR="009A7BE8" w:rsidRPr="00A62B20">
        <w:rPr>
          <w:rFonts w:ascii="Arial" w:hAnsi="Arial" w:cs="Arial"/>
        </w:rPr>
        <w:t xml:space="preserve"> </w:t>
      </w:r>
      <w:r w:rsidRPr="00A62B20">
        <w:rPr>
          <w:rFonts w:ascii="Arial" w:hAnsi="Arial" w:cs="Arial"/>
        </w:rPr>
        <w:t>supporting community sport volunteers</w:t>
      </w:r>
    </w:p>
    <w:p w:rsidR="0028598A" w:rsidRPr="00C96F1A" w:rsidRDefault="00B625AF" w:rsidP="00A62B20">
      <w:pPr>
        <w:pStyle w:val="Heading6"/>
      </w:pPr>
      <w:r w:rsidRPr="00C96F1A">
        <w:t>Housing Construction Jobs Program</w:t>
      </w:r>
    </w:p>
    <w:p w:rsidR="0028598A" w:rsidRPr="00C96F1A" w:rsidRDefault="00B625AF" w:rsidP="00C96F1A">
      <w:pPr>
        <w:rPr>
          <w:rFonts w:ascii="Arial" w:hAnsi="Arial" w:cs="Arial"/>
        </w:rPr>
      </w:pPr>
      <w:r w:rsidRPr="00C96F1A">
        <w:rPr>
          <w:rFonts w:ascii="Arial" w:hAnsi="Arial" w:cs="Arial"/>
        </w:rPr>
        <w:t>In July 2017, the department sought expressions of interest (EOI) for market proposals for small, medium and large- scale housing projects.</w:t>
      </w:r>
    </w:p>
    <w:p w:rsidR="0028598A" w:rsidRPr="00A62B20" w:rsidRDefault="00A62B20" w:rsidP="00D806AE">
      <w:pPr>
        <w:pStyle w:val="ListParagraph"/>
        <w:numPr>
          <w:ilvl w:val="0"/>
          <w:numId w:val="56"/>
        </w:numPr>
        <w:rPr>
          <w:rFonts w:ascii="Arial" w:hAnsi="Arial" w:cs="Arial"/>
        </w:rPr>
      </w:pPr>
      <w:r w:rsidRPr="00A62B20">
        <w:rPr>
          <w:rFonts w:ascii="Arial" w:hAnsi="Arial" w:cs="Arial"/>
        </w:rPr>
        <w:t xml:space="preserve">8 </w:t>
      </w:r>
      <w:r w:rsidR="00B625AF" w:rsidRPr="00A62B20">
        <w:rPr>
          <w:rFonts w:ascii="Arial" w:hAnsi="Arial" w:cs="Arial"/>
        </w:rPr>
        <w:t>EOI engagement sessions held across the state</w:t>
      </w:r>
      <w:r w:rsidRPr="00A62B20">
        <w:rPr>
          <w:rFonts w:ascii="Arial" w:hAnsi="Arial" w:cs="Arial"/>
        </w:rPr>
        <w:t xml:space="preserve"> </w:t>
      </w:r>
      <w:r w:rsidR="00B625AF" w:rsidRPr="00A62B20">
        <w:rPr>
          <w:rFonts w:ascii="Arial" w:hAnsi="Arial" w:cs="Arial"/>
        </w:rPr>
        <w:t>Queensland Recreation Centres</w:t>
      </w:r>
    </w:p>
    <w:p w:rsidR="0028598A" w:rsidRPr="00A62B20" w:rsidRDefault="00A62B20" w:rsidP="00D806AE">
      <w:pPr>
        <w:pStyle w:val="ListParagraph"/>
        <w:numPr>
          <w:ilvl w:val="0"/>
          <w:numId w:val="56"/>
        </w:numPr>
        <w:rPr>
          <w:rFonts w:ascii="Arial" w:hAnsi="Arial" w:cs="Arial"/>
        </w:rPr>
      </w:pPr>
      <w:r w:rsidRPr="00A62B20">
        <w:rPr>
          <w:rFonts w:ascii="Arial" w:hAnsi="Arial" w:cs="Arial"/>
        </w:rPr>
        <w:t>585 local developers, builders and community housing providers attended sessions</w:t>
      </w:r>
    </w:p>
    <w:p w:rsidR="00A62B20" w:rsidRPr="00A62B20" w:rsidRDefault="00A62B20" w:rsidP="00D806AE">
      <w:pPr>
        <w:pStyle w:val="ListParagraph"/>
        <w:numPr>
          <w:ilvl w:val="0"/>
          <w:numId w:val="56"/>
        </w:numPr>
        <w:rPr>
          <w:rFonts w:ascii="Arial" w:hAnsi="Arial" w:cs="Arial"/>
        </w:rPr>
      </w:pPr>
      <w:r w:rsidRPr="00A62B20">
        <w:rPr>
          <w:rFonts w:ascii="Arial" w:hAnsi="Arial" w:cs="Arial"/>
        </w:rPr>
        <w:t>112 proponents registered interest (across a number of locations)</w:t>
      </w:r>
    </w:p>
    <w:p w:rsidR="00A62B20" w:rsidRPr="00A62B20" w:rsidRDefault="00A62B20" w:rsidP="00D806AE">
      <w:pPr>
        <w:pStyle w:val="ListParagraph"/>
        <w:numPr>
          <w:ilvl w:val="0"/>
          <w:numId w:val="56"/>
        </w:numPr>
        <w:rPr>
          <w:rFonts w:ascii="Arial" w:hAnsi="Arial" w:cs="Arial"/>
        </w:rPr>
      </w:pPr>
      <w:r w:rsidRPr="00A62B20">
        <w:rPr>
          <w:rFonts w:ascii="Arial" w:hAnsi="Arial" w:cs="Arial"/>
        </w:rPr>
        <w:t>224 EOI proposals submitted</w:t>
      </w:r>
    </w:p>
    <w:p w:rsidR="00A62B20" w:rsidRPr="00A62B20" w:rsidRDefault="00A62B20" w:rsidP="00D806AE">
      <w:pPr>
        <w:pStyle w:val="ListParagraph"/>
        <w:numPr>
          <w:ilvl w:val="0"/>
          <w:numId w:val="57"/>
        </w:numPr>
        <w:rPr>
          <w:rFonts w:ascii="Arial" w:hAnsi="Arial" w:cs="Arial"/>
        </w:rPr>
      </w:pPr>
      <w:r w:rsidRPr="00A62B20">
        <w:rPr>
          <w:rFonts w:ascii="Arial" w:hAnsi="Arial" w:cs="Arial"/>
        </w:rPr>
        <w:t>39 development ready proposals</w:t>
      </w:r>
    </w:p>
    <w:p w:rsidR="00A62B20" w:rsidRPr="00A62B20" w:rsidRDefault="00A62B20" w:rsidP="00D806AE">
      <w:pPr>
        <w:pStyle w:val="ListParagraph"/>
        <w:numPr>
          <w:ilvl w:val="0"/>
          <w:numId w:val="57"/>
        </w:numPr>
        <w:rPr>
          <w:rFonts w:ascii="Arial" w:hAnsi="Arial" w:cs="Arial"/>
        </w:rPr>
      </w:pPr>
      <w:r w:rsidRPr="00A62B20">
        <w:rPr>
          <w:rFonts w:ascii="Arial" w:hAnsi="Arial" w:cs="Arial"/>
        </w:rPr>
        <w:t>59 proposals suitable for future development</w:t>
      </w:r>
    </w:p>
    <w:p w:rsidR="00A62B20" w:rsidRDefault="00A62B20" w:rsidP="00A62B20">
      <w:pPr>
        <w:pStyle w:val="Heading6"/>
      </w:pPr>
      <w:r>
        <w:t>Queensland Recreation Centres</w:t>
      </w:r>
    </w:p>
    <w:p w:rsidR="0028598A" w:rsidRPr="00A62B20" w:rsidRDefault="00B625AF" w:rsidP="00D806AE">
      <w:pPr>
        <w:pStyle w:val="ListParagraph"/>
        <w:numPr>
          <w:ilvl w:val="0"/>
          <w:numId w:val="56"/>
        </w:numPr>
        <w:rPr>
          <w:rFonts w:ascii="Arial" w:hAnsi="Arial" w:cs="Arial"/>
        </w:rPr>
      </w:pPr>
      <w:r w:rsidRPr="00A62B20">
        <w:rPr>
          <w:rFonts w:ascii="Arial" w:hAnsi="Arial" w:cs="Arial"/>
        </w:rPr>
        <w:t>92,870 visits</w:t>
      </w:r>
    </w:p>
    <w:p w:rsidR="0028598A" w:rsidRPr="00A62B20" w:rsidRDefault="00B625AF" w:rsidP="00D806AE">
      <w:pPr>
        <w:pStyle w:val="ListParagraph"/>
        <w:numPr>
          <w:ilvl w:val="0"/>
          <w:numId w:val="56"/>
        </w:numPr>
        <w:rPr>
          <w:rFonts w:ascii="Arial" w:hAnsi="Arial" w:cs="Arial"/>
        </w:rPr>
      </w:pPr>
      <w:r w:rsidRPr="00A62B20">
        <w:rPr>
          <w:rFonts w:ascii="Arial" w:hAnsi="Arial" w:cs="Arial"/>
        </w:rPr>
        <w:t>119,222 bed nights*</w:t>
      </w:r>
    </w:p>
    <w:p w:rsidR="0028598A" w:rsidRPr="00A62B20" w:rsidRDefault="00B625AF" w:rsidP="00D806AE">
      <w:pPr>
        <w:pStyle w:val="ListParagraph"/>
        <w:numPr>
          <w:ilvl w:val="0"/>
          <w:numId w:val="56"/>
        </w:numPr>
        <w:rPr>
          <w:rFonts w:ascii="Arial" w:hAnsi="Arial" w:cs="Arial"/>
        </w:rPr>
      </w:pPr>
      <w:r w:rsidRPr="00A62B20">
        <w:rPr>
          <w:rFonts w:ascii="Arial" w:hAnsi="Arial" w:cs="Arial"/>
        </w:rPr>
        <w:t>347,564</w:t>
      </w:r>
      <w:r w:rsidR="00A62B20" w:rsidRPr="00A62B20">
        <w:rPr>
          <w:rFonts w:ascii="Arial" w:hAnsi="Arial" w:cs="Arial"/>
        </w:rPr>
        <w:t xml:space="preserve"> </w:t>
      </w:r>
      <w:r w:rsidRPr="00A62B20">
        <w:rPr>
          <w:rFonts w:ascii="Arial" w:hAnsi="Arial" w:cs="Arial"/>
        </w:rPr>
        <w:t>structured</w:t>
      </w:r>
      <w:r w:rsidR="00A62B20" w:rsidRPr="00A62B20">
        <w:rPr>
          <w:rFonts w:ascii="Arial" w:hAnsi="Arial" w:cs="Arial"/>
        </w:rPr>
        <w:t xml:space="preserve"> activity hours*</w:t>
      </w:r>
    </w:p>
    <w:p w:rsidR="00A62B20" w:rsidRDefault="00A62B20" w:rsidP="00C96F1A">
      <w:pPr>
        <w:rPr>
          <w:rFonts w:ascii="Arial" w:hAnsi="Arial" w:cs="Arial"/>
        </w:rPr>
      </w:pPr>
    </w:p>
    <w:p w:rsidR="0028598A" w:rsidRPr="00C96F1A" w:rsidRDefault="00B625AF" w:rsidP="00C96F1A">
      <w:pPr>
        <w:rPr>
          <w:rFonts w:ascii="Arial" w:hAnsi="Arial" w:cs="Arial"/>
        </w:rPr>
      </w:pPr>
      <w:r w:rsidRPr="00C96F1A">
        <w:rPr>
          <w:rFonts w:ascii="Arial" w:hAnsi="Arial" w:cs="Arial"/>
        </w:rPr>
        <w:t>*Bed Night = a single occupied bed overnight at one of the Recreation Centres.</w:t>
      </w:r>
    </w:p>
    <w:p w:rsidR="0028598A" w:rsidRPr="00C96F1A" w:rsidRDefault="00B625AF" w:rsidP="00C96F1A">
      <w:pPr>
        <w:rPr>
          <w:rFonts w:ascii="Arial" w:hAnsi="Arial" w:cs="Arial"/>
        </w:rPr>
      </w:pPr>
      <w:r w:rsidRPr="00C96F1A">
        <w:rPr>
          <w:rFonts w:ascii="Arial" w:hAnsi="Arial" w:cs="Arial"/>
        </w:rPr>
        <w:t>**Structured Activity Hour = one hour of structured recreation activity</w:t>
      </w:r>
      <w:r w:rsidR="00A62B20">
        <w:rPr>
          <w:rFonts w:ascii="Arial" w:hAnsi="Arial" w:cs="Arial"/>
        </w:rPr>
        <w:t xml:space="preserve"> </w:t>
      </w:r>
      <w:r w:rsidRPr="00C96F1A">
        <w:rPr>
          <w:rFonts w:ascii="Arial" w:hAnsi="Arial" w:cs="Arial"/>
        </w:rPr>
        <w:t>delivered to a participant by a qualified QRec activity instructor.</w:t>
      </w:r>
    </w:p>
    <w:p w:rsidR="0028598A" w:rsidRPr="00C96F1A" w:rsidRDefault="00B625AF" w:rsidP="00A62B20">
      <w:pPr>
        <w:pStyle w:val="Heading6"/>
      </w:pPr>
      <w:r w:rsidRPr="00C96F1A">
        <w:t>Supporting our athletes</w:t>
      </w:r>
    </w:p>
    <w:p w:rsidR="0028598A" w:rsidRPr="00A62B20" w:rsidRDefault="00B625AF" w:rsidP="00D806AE">
      <w:pPr>
        <w:pStyle w:val="ListParagraph"/>
        <w:numPr>
          <w:ilvl w:val="0"/>
          <w:numId w:val="58"/>
        </w:numPr>
        <w:rPr>
          <w:rFonts w:ascii="Arial" w:hAnsi="Arial" w:cs="Arial"/>
        </w:rPr>
      </w:pPr>
      <w:r w:rsidRPr="00A62B20">
        <w:rPr>
          <w:rFonts w:ascii="Arial" w:hAnsi="Arial" w:cs="Arial"/>
        </w:rPr>
        <w:t>15,900</w:t>
      </w:r>
      <w:r w:rsidR="00A62B20" w:rsidRPr="00A62B20">
        <w:rPr>
          <w:rFonts w:ascii="Arial" w:hAnsi="Arial" w:cs="Arial"/>
        </w:rPr>
        <w:t xml:space="preserve"> </w:t>
      </w:r>
      <w:r w:rsidRPr="00A62B20">
        <w:rPr>
          <w:rFonts w:ascii="Arial" w:hAnsi="Arial" w:cs="Arial"/>
        </w:rPr>
        <w:t>Queenslanders employed in sport and active recreation sectors</w:t>
      </w:r>
    </w:p>
    <w:p w:rsidR="0028598A" w:rsidRPr="00A62B20" w:rsidRDefault="00B625AF" w:rsidP="00D806AE">
      <w:pPr>
        <w:pStyle w:val="ListParagraph"/>
        <w:numPr>
          <w:ilvl w:val="0"/>
          <w:numId w:val="58"/>
        </w:numPr>
        <w:rPr>
          <w:rFonts w:ascii="Arial" w:hAnsi="Arial" w:cs="Arial"/>
        </w:rPr>
      </w:pPr>
      <w:r w:rsidRPr="00A62B20">
        <w:rPr>
          <w:rFonts w:ascii="Arial" w:hAnsi="Arial" w:cs="Arial"/>
        </w:rPr>
        <w:t>278,100</w:t>
      </w:r>
      <w:r w:rsidR="00A62B20" w:rsidRPr="00A62B20">
        <w:rPr>
          <w:rFonts w:ascii="Arial" w:hAnsi="Arial" w:cs="Arial"/>
        </w:rPr>
        <w:t xml:space="preserve"> </w:t>
      </w:r>
      <w:r w:rsidRPr="00A62B20">
        <w:rPr>
          <w:rFonts w:ascii="Arial" w:hAnsi="Arial" w:cs="Arial"/>
        </w:rPr>
        <w:t>Queensland volunteers</w:t>
      </w:r>
      <w:r w:rsidR="00A62B20" w:rsidRPr="00A62B20">
        <w:rPr>
          <w:rFonts w:ascii="Arial" w:hAnsi="Arial" w:cs="Arial"/>
        </w:rPr>
        <w:t xml:space="preserve"> </w:t>
      </w:r>
      <w:r w:rsidRPr="00A62B20">
        <w:rPr>
          <w:rFonts w:ascii="Arial" w:hAnsi="Arial" w:cs="Arial"/>
        </w:rPr>
        <w:t>in sport and active recreation (2014)</w:t>
      </w:r>
    </w:p>
    <w:p w:rsidR="0028598A" w:rsidRDefault="00A62B20" w:rsidP="00D806AE">
      <w:pPr>
        <w:pStyle w:val="ListParagraph"/>
        <w:numPr>
          <w:ilvl w:val="0"/>
          <w:numId w:val="58"/>
        </w:numPr>
        <w:rPr>
          <w:rFonts w:ascii="Arial" w:hAnsi="Arial" w:cs="Arial"/>
        </w:rPr>
      </w:pPr>
      <w:r w:rsidRPr="00C96F1A">
        <w:rPr>
          <w:rFonts w:ascii="Arial" w:hAnsi="Arial" w:cs="Arial"/>
        </w:rPr>
        <w:t>600</w:t>
      </w:r>
      <w:r w:rsidRPr="00A62B20">
        <w:rPr>
          <w:rFonts w:ascii="Arial" w:hAnsi="Arial" w:cs="Arial"/>
        </w:rPr>
        <w:t xml:space="preserve"> </w:t>
      </w:r>
      <w:r w:rsidRPr="00C96F1A">
        <w:rPr>
          <w:rFonts w:ascii="Arial" w:hAnsi="Arial" w:cs="Arial"/>
        </w:rPr>
        <w:t>elite athletes</w:t>
      </w:r>
      <w:r>
        <w:rPr>
          <w:rFonts w:ascii="Arial" w:hAnsi="Arial" w:cs="Arial"/>
        </w:rPr>
        <w:t xml:space="preserve"> </w:t>
      </w:r>
      <w:r w:rsidR="00B625AF" w:rsidRPr="00C96F1A">
        <w:rPr>
          <w:rFonts w:ascii="Arial" w:hAnsi="Arial" w:cs="Arial"/>
        </w:rPr>
        <w:t>22</w:t>
      </w:r>
      <w:r w:rsidRPr="00A62B20">
        <w:rPr>
          <w:rFonts w:ascii="Arial" w:hAnsi="Arial" w:cs="Arial"/>
        </w:rPr>
        <w:t xml:space="preserve"> </w:t>
      </w:r>
      <w:r w:rsidR="00B625AF" w:rsidRPr="00C96F1A">
        <w:rPr>
          <w:rFonts w:ascii="Arial" w:hAnsi="Arial" w:cs="Arial"/>
        </w:rPr>
        <w:t>across</w:t>
      </w:r>
      <w:r w:rsidR="004A7520">
        <w:rPr>
          <w:rFonts w:ascii="Arial" w:hAnsi="Arial" w:cs="Arial"/>
        </w:rPr>
        <w:t xml:space="preserve"> </w:t>
      </w:r>
      <w:r w:rsidR="00B625AF" w:rsidRPr="00C96F1A">
        <w:rPr>
          <w:rFonts w:ascii="Arial" w:hAnsi="Arial" w:cs="Arial"/>
        </w:rPr>
        <w:t>sports</w:t>
      </w:r>
    </w:p>
    <w:p w:rsidR="00A62B20" w:rsidRDefault="00A62B20" w:rsidP="00A62B20">
      <w:pPr>
        <w:rPr>
          <w:rFonts w:ascii="Arial" w:hAnsi="Arial" w:cs="Arial"/>
        </w:rPr>
      </w:pPr>
    </w:p>
    <w:p w:rsidR="0028598A" w:rsidRPr="00C96F1A" w:rsidRDefault="0028598A" w:rsidP="00C96F1A">
      <w:pPr>
        <w:rPr>
          <w:rFonts w:ascii="Arial" w:hAnsi="Arial" w:cs="Arial"/>
        </w:rPr>
        <w:sectPr w:rsidR="0028598A" w:rsidRPr="00C96F1A" w:rsidSect="00C96F1A">
          <w:footerReference w:type="even" r:id="rId21"/>
          <w:type w:val="continuous"/>
          <w:pgSz w:w="11910" w:h="16840"/>
          <w:pgMar w:top="1440" w:right="1080" w:bottom="1440" w:left="1080" w:header="720" w:footer="720" w:gutter="0"/>
          <w:cols w:space="720"/>
        </w:sectPr>
      </w:pPr>
    </w:p>
    <w:p w:rsidR="0028598A" w:rsidRPr="00C96F1A" w:rsidRDefault="004960A8" w:rsidP="00835AA7">
      <w:pPr>
        <w:pStyle w:val="Heading1"/>
      </w:pPr>
      <w:bookmarkStart w:id="24" w:name="_Toc528845957"/>
      <w:r>
        <w:lastRenderedPageBreak/>
        <w:t>Case Study</w:t>
      </w:r>
      <w:bookmarkEnd w:id="24"/>
    </w:p>
    <w:p w:rsidR="0028598A" w:rsidRPr="00C96F1A" w:rsidRDefault="00B625AF" w:rsidP="00B431B6">
      <w:pPr>
        <w:pStyle w:val="Heading3"/>
      </w:pPr>
      <w:r w:rsidRPr="00C96F1A">
        <w:t>Responding to the issue of combustible cladding</w:t>
      </w:r>
    </w:p>
    <w:p w:rsidR="0028598A" w:rsidRPr="00C96F1A" w:rsidRDefault="0028598A" w:rsidP="00B431B6">
      <w:pPr>
        <w:pStyle w:val="Heading3"/>
        <w:sectPr w:rsidR="0028598A" w:rsidRPr="00C96F1A" w:rsidSect="00C96F1A">
          <w:pgSz w:w="11910" w:h="16840"/>
          <w:pgMar w:top="1440" w:right="1080" w:bottom="1440" w:left="1080" w:header="0" w:footer="500" w:gutter="0"/>
          <w:cols w:space="720"/>
        </w:sectPr>
      </w:pPr>
    </w:p>
    <w:p w:rsidR="005831D2" w:rsidRDefault="005831D2" w:rsidP="00C96F1A">
      <w:pPr>
        <w:rPr>
          <w:rFonts w:ascii="Arial" w:hAnsi="Arial" w:cs="Arial"/>
        </w:rPr>
      </w:pPr>
      <w:r>
        <w:rPr>
          <w:rFonts w:ascii="Arial" w:hAnsi="Arial" w:cs="Arial"/>
        </w:rPr>
        <w:t>IMAGE: BUILDING</w:t>
      </w:r>
    </w:p>
    <w:p w:rsidR="0028598A" w:rsidRPr="00C96F1A" w:rsidRDefault="00B625AF" w:rsidP="00C96F1A">
      <w:pPr>
        <w:rPr>
          <w:rFonts w:ascii="Arial" w:hAnsi="Arial" w:cs="Arial"/>
        </w:rPr>
      </w:pPr>
      <w:r w:rsidRPr="00C96F1A">
        <w:rPr>
          <w:rFonts w:ascii="Arial" w:hAnsi="Arial" w:cs="Arial"/>
        </w:rPr>
        <w:t>The Non-Conforming Building Products Audit Taskforce was formed in June 2017 as a rapid response to the serious issue of combustible cladding.</w:t>
      </w:r>
    </w:p>
    <w:p w:rsidR="0028598A" w:rsidRPr="00C96F1A" w:rsidRDefault="00B625AF" w:rsidP="00C96F1A">
      <w:pPr>
        <w:rPr>
          <w:rFonts w:ascii="Arial" w:hAnsi="Arial" w:cs="Arial"/>
        </w:rPr>
      </w:pPr>
      <w:r w:rsidRPr="00C96F1A">
        <w:rPr>
          <w:rFonts w:ascii="Arial" w:hAnsi="Arial" w:cs="Arial"/>
        </w:rPr>
        <w:t>The Taskforce was one of the first in Australia to develop a risk- based approach to address the issue of potentially combustible cladding, helping to introduce globally recognised measures.</w:t>
      </w:r>
    </w:p>
    <w:p w:rsidR="0028598A" w:rsidRPr="00C96F1A" w:rsidRDefault="00B625AF" w:rsidP="00C96F1A">
      <w:pPr>
        <w:rPr>
          <w:rFonts w:ascii="Arial" w:hAnsi="Arial" w:cs="Arial"/>
        </w:rPr>
      </w:pPr>
      <w:r w:rsidRPr="00C96F1A">
        <w:rPr>
          <w:rFonts w:ascii="Arial" w:hAnsi="Arial" w:cs="Arial"/>
        </w:rPr>
        <w:t>The challenge was to investigate and audit the extent of potential safety issues associated with combustible cladding material and make recommendations to government.</w:t>
      </w:r>
    </w:p>
    <w:p w:rsidR="0028598A" w:rsidRPr="00C96F1A" w:rsidRDefault="00B625AF" w:rsidP="00C96F1A">
      <w:pPr>
        <w:rPr>
          <w:rFonts w:ascii="Arial" w:hAnsi="Arial" w:cs="Arial"/>
        </w:rPr>
      </w:pPr>
      <w:r w:rsidRPr="00C96F1A">
        <w:rPr>
          <w:rFonts w:ascii="Arial" w:hAnsi="Arial" w:cs="Arial"/>
        </w:rPr>
        <w:t xml:space="preserve">In May 2018, the Taskforce, comprising representatives from the Department of Housing and Public Works, Queensland Fire and Emergency Services (QFES) and the Queensland Building and Construction Commission, released a </w:t>
      </w:r>
      <w:r w:rsidR="009C1546">
        <w:rPr>
          <w:rFonts w:ascii="Arial" w:hAnsi="Arial" w:cs="Arial"/>
        </w:rPr>
        <w:t>s</w:t>
      </w:r>
      <w:r w:rsidRPr="00C96F1A">
        <w:rPr>
          <w:rFonts w:ascii="Arial" w:hAnsi="Arial" w:cs="Arial"/>
        </w:rPr>
        <w:t xml:space="preserve">tatus </w:t>
      </w:r>
      <w:r w:rsidR="009C1546">
        <w:rPr>
          <w:rFonts w:ascii="Arial" w:hAnsi="Arial" w:cs="Arial"/>
        </w:rPr>
        <w:t>r</w:t>
      </w:r>
      <w:r w:rsidRPr="00C96F1A">
        <w:rPr>
          <w:rFonts w:ascii="Arial" w:hAnsi="Arial" w:cs="Arial"/>
        </w:rPr>
        <w:t>eport with six recommendations, which have been supported by the Queensland Government.</w:t>
      </w:r>
    </w:p>
    <w:p w:rsidR="0028598A" w:rsidRPr="00C96F1A" w:rsidRDefault="00B625AF" w:rsidP="00C96F1A">
      <w:pPr>
        <w:rPr>
          <w:rFonts w:ascii="Arial" w:hAnsi="Arial" w:cs="Arial"/>
        </w:rPr>
      </w:pPr>
      <w:r w:rsidRPr="00C96F1A">
        <w:rPr>
          <w:rFonts w:ascii="Arial" w:hAnsi="Arial" w:cs="Arial"/>
        </w:rPr>
        <w:t>Taskforce achievements included:</w:t>
      </w:r>
    </w:p>
    <w:p w:rsidR="0028598A" w:rsidRPr="00B249F0" w:rsidRDefault="00B625AF" w:rsidP="00D806AE">
      <w:pPr>
        <w:pStyle w:val="ListParagraph"/>
        <w:numPr>
          <w:ilvl w:val="0"/>
          <w:numId w:val="16"/>
        </w:numPr>
        <w:rPr>
          <w:rFonts w:ascii="Arial" w:hAnsi="Arial" w:cs="Arial"/>
        </w:rPr>
      </w:pPr>
      <w:r w:rsidRPr="00B249F0">
        <w:rPr>
          <w:rFonts w:ascii="Arial" w:hAnsi="Arial" w:cs="Arial"/>
        </w:rPr>
        <w:t>the review of almost 28,000 government building</w:t>
      </w:r>
      <w:r w:rsidR="00B249F0" w:rsidRPr="00B249F0">
        <w:rPr>
          <w:rFonts w:ascii="Arial" w:hAnsi="Arial" w:cs="Arial"/>
        </w:rPr>
        <w:t xml:space="preserve"> </w:t>
      </w:r>
      <w:r w:rsidRPr="00B249F0">
        <w:rPr>
          <w:rFonts w:ascii="Arial" w:hAnsi="Arial" w:cs="Arial"/>
        </w:rPr>
        <w:t>certification records</w:t>
      </w:r>
    </w:p>
    <w:p w:rsidR="0028598A" w:rsidRPr="00B249F0" w:rsidRDefault="00B625AF" w:rsidP="00D806AE">
      <w:pPr>
        <w:pStyle w:val="ListParagraph"/>
        <w:numPr>
          <w:ilvl w:val="0"/>
          <w:numId w:val="16"/>
        </w:numPr>
        <w:rPr>
          <w:rFonts w:ascii="Arial" w:hAnsi="Arial" w:cs="Arial"/>
        </w:rPr>
      </w:pPr>
      <w:r w:rsidRPr="00B249F0">
        <w:rPr>
          <w:rFonts w:ascii="Arial" w:hAnsi="Arial" w:cs="Arial"/>
        </w:rPr>
        <w:t>a detailed assessment of 1,039 buildings with 172 government buildings referred back to agencies for further assessment</w:t>
      </w:r>
    </w:p>
    <w:p w:rsidR="0028598A" w:rsidRPr="00B249F0" w:rsidRDefault="00B625AF" w:rsidP="00D806AE">
      <w:pPr>
        <w:pStyle w:val="ListParagraph"/>
        <w:numPr>
          <w:ilvl w:val="0"/>
          <w:numId w:val="16"/>
        </w:numPr>
        <w:rPr>
          <w:rFonts w:ascii="Arial" w:hAnsi="Arial" w:cs="Arial"/>
        </w:rPr>
      </w:pPr>
      <w:r w:rsidRPr="00B249F0">
        <w:rPr>
          <w:rFonts w:ascii="Arial" w:hAnsi="Arial" w:cs="Arial"/>
        </w:rPr>
        <w:t>the combining of QFES and local Council data for 42,000 privately owned buildings to determine that 12,000 may need review</w:t>
      </w:r>
    </w:p>
    <w:p w:rsidR="0028598A" w:rsidRPr="00B249F0" w:rsidRDefault="00B625AF" w:rsidP="00D806AE">
      <w:pPr>
        <w:pStyle w:val="ListParagraph"/>
        <w:numPr>
          <w:ilvl w:val="0"/>
          <w:numId w:val="16"/>
        </w:numPr>
        <w:rPr>
          <w:rFonts w:ascii="Arial" w:hAnsi="Arial" w:cs="Arial"/>
        </w:rPr>
      </w:pPr>
      <w:r w:rsidRPr="00B249F0">
        <w:rPr>
          <w:rFonts w:ascii="Arial" w:hAnsi="Arial" w:cs="Arial"/>
        </w:rPr>
        <w:t xml:space="preserve">introduction of the </w:t>
      </w:r>
      <w:r w:rsidRPr="00B249F0">
        <w:rPr>
          <w:rFonts w:ascii="Arial" w:hAnsi="Arial" w:cs="Arial"/>
          <w:i/>
        </w:rPr>
        <w:t>Non-Conforming Building Products – Chain of Responsibility and Other Matters Amendment Act 2017</w:t>
      </w:r>
    </w:p>
    <w:p w:rsidR="0028598A" w:rsidRPr="00B249F0" w:rsidRDefault="00B625AF" w:rsidP="00D806AE">
      <w:pPr>
        <w:pStyle w:val="ListParagraph"/>
        <w:numPr>
          <w:ilvl w:val="0"/>
          <w:numId w:val="16"/>
        </w:numPr>
        <w:rPr>
          <w:rFonts w:ascii="Arial" w:hAnsi="Arial" w:cs="Arial"/>
        </w:rPr>
      </w:pPr>
      <w:r w:rsidRPr="00B249F0">
        <w:rPr>
          <w:rFonts w:ascii="Arial" w:hAnsi="Arial" w:cs="Arial"/>
        </w:rPr>
        <w:t>collaboration with the University of Queensland, to develop continuing professional development (CPD) training courses for fire engineers to better understand the risks of external fire spread</w:t>
      </w:r>
    </w:p>
    <w:p w:rsidR="0028598A" w:rsidRPr="00B249F0" w:rsidRDefault="00B625AF" w:rsidP="00D806AE">
      <w:pPr>
        <w:pStyle w:val="ListParagraph"/>
        <w:numPr>
          <w:ilvl w:val="0"/>
          <w:numId w:val="16"/>
        </w:numPr>
        <w:rPr>
          <w:rFonts w:ascii="Arial" w:hAnsi="Arial" w:cs="Arial"/>
        </w:rPr>
      </w:pPr>
      <w:r w:rsidRPr="00B249F0">
        <w:rPr>
          <w:rFonts w:ascii="Arial" w:hAnsi="Arial" w:cs="Arial"/>
        </w:rPr>
        <w:t>development of CPD for Building Certifiers, to be rolled</w:t>
      </w:r>
      <w:r w:rsidR="00B249F0" w:rsidRPr="00B249F0">
        <w:rPr>
          <w:rFonts w:ascii="Arial" w:hAnsi="Arial" w:cs="Arial"/>
        </w:rPr>
        <w:t xml:space="preserve"> </w:t>
      </w:r>
      <w:r w:rsidRPr="00B249F0">
        <w:rPr>
          <w:rFonts w:ascii="Arial" w:hAnsi="Arial" w:cs="Arial"/>
        </w:rPr>
        <w:t>out during 2018</w:t>
      </w:r>
    </w:p>
    <w:p w:rsidR="0028598A" w:rsidRPr="00B249F0" w:rsidRDefault="00B625AF" w:rsidP="00D806AE">
      <w:pPr>
        <w:pStyle w:val="ListParagraph"/>
        <w:numPr>
          <w:ilvl w:val="0"/>
          <w:numId w:val="16"/>
        </w:numPr>
        <w:rPr>
          <w:rFonts w:ascii="Arial" w:hAnsi="Arial" w:cs="Arial"/>
        </w:rPr>
      </w:pPr>
      <w:r w:rsidRPr="00B249F0">
        <w:rPr>
          <w:rFonts w:ascii="Arial" w:hAnsi="Arial" w:cs="Arial"/>
        </w:rPr>
        <w:t>establishment of a materials library to assist industry professionals to quickly and cost effectively identify the fire behaviour of cladding products with the University of Queensland.</w:t>
      </w:r>
    </w:p>
    <w:p w:rsidR="0028598A" w:rsidRPr="00C96F1A" w:rsidRDefault="00B625AF" w:rsidP="00C96F1A">
      <w:pPr>
        <w:rPr>
          <w:rFonts w:ascii="Arial" w:hAnsi="Arial" w:cs="Arial"/>
        </w:rPr>
      </w:pPr>
      <w:r w:rsidRPr="00C96F1A">
        <w:rPr>
          <w:rFonts w:ascii="Arial" w:hAnsi="Arial" w:cs="Arial"/>
        </w:rPr>
        <w:t xml:space="preserve">A new building regulation to compel private building owners to complete a checklist and where necessary engage an industry professional to undertake a building fire safety risk assessment will come into effect on 1 October 2018. The Queensland Government has launched the Safer Buildings website to assist building owners </w:t>
      </w:r>
      <w:r w:rsidR="009C1546">
        <w:rPr>
          <w:rFonts w:ascii="Arial" w:hAnsi="Arial" w:cs="Arial"/>
        </w:rPr>
        <w:t xml:space="preserve">to </w:t>
      </w:r>
      <w:r w:rsidRPr="00C96F1A">
        <w:rPr>
          <w:rFonts w:ascii="Arial" w:hAnsi="Arial" w:cs="Arial"/>
        </w:rPr>
        <w:t>comply with these new regulations.</w:t>
      </w:r>
    </w:p>
    <w:p w:rsidR="0028598A" w:rsidRPr="00C96F1A" w:rsidRDefault="0028598A" w:rsidP="00C96F1A">
      <w:pPr>
        <w:rPr>
          <w:rFonts w:ascii="Arial" w:hAnsi="Arial" w:cs="Arial"/>
        </w:rPr>
      </w:pPr>
    </w:p>
    <w:p w:rsidR="0028598A" w:rsidRPr="00B249F0" w:rsidRDefault="00B625AF" w:rsidP="00C96F1A">
      <w:pPr>
        <w:rPr>
          <w:rFonts w:ascii="Arial" w:hAnsi="Arial" w:cs="Arial"/>
          <w:i/>
        </w:rPr>
      </w:pPr>
      <w:r w:rsidRPr="00B249F0">
        <w:rPr>
          <w:rFonts w:ascii="Arial" w:hAnsi="Arial" w:cs="Arial"/>
          <w:i/>
        </w:rPr>
        <w:t>“The safety of all Queenslanders is paramount.</w:t>
      </w:r>
      <w:r w:rsidR="00B249F0" w:rsidRPr="00B249F0">
        <w:rPr>
          <w:rFonts w:ascii="Arial" w:hAnsi="Arial" w:cs="Arial"/>
          <w:i/>
        </w:rPr>
        <w:t xml:space="preserve"> </w:t>
      </w:r>
      <w:r w:rsidRPr="00B249F0">
        <w:rPr>
          <w:rFonts w:ascii="Arial" w:hAnsi="Arial" w:cs="Arial"/>
          <w:i/>
        </w:rPr>
        <w:t>From my experience of the Grenfell Tower Inquiry in London I am assured the approach being taken to safeguard the cladding in use across Queensland is on the leading edge. This model could be easily and successfully adopted more broadly by other jurisdictions.”</w:t>
      </w:r>
    </w:p>
    <w:p w:rsidR="0028598A" w:rsidRPr="00B249F0" w:rsidRDefault="00B625AF" w:rsidP="00C96F1A">
      <w:pPr>
        <w:rPr>
          <w:rFonts w:ascii="Arial" w:hAnsi="Arial" w:cs="Arial"/>
        </w:rPr>
      </w:pPr>
      <w:r w:rsidRPr="00B249F0">
        <w:rPr>
          <w:rFonts w:ascii="Arial" w:hAnsi="Arial" w:cs="Arial"/>
        </w:rPr>
        <w:t>Professor Jose Torero, University of Maryland (USA) and an Expert Witness to the Grenfell Tower Inquiry</w:t>
      </w:r>
    </w:p>
    <w:p w:rsidR="0028598A" w:rsidRPr="00C96F1A" w:rsidRDefault="0028598A" w:rsidP="00C96F1A">
      <w:pPr>
        <w:rPr>
          <w:rFonts w:ascii="Arial" w:hAnsi="Arial" w:cs="Arial"/>
        </w:rPr>
        <w:sectPr w:rsidR="0028598A" w:rsidRPr="00C96F1A" w:rsidSect="00C96F1A">
          <w:type w:val="continuous"/>
          <w:pgSz w:w="11910" w:h="16840"/>
          <w:pgMar w:top="1440" w:right="1080" w:bottom="1440" w:left="1080" w:header="720" w:footer="720" w:gutter="0"/>
          <w:cols w:space="720"/>
        </w:sectPr>
      </w:pPr>
    </w:p>
    <w:p w:rsidR="0028598A" w:rsidRPr="00C96F1A" w:rsidRDefault="004960A8" w:rsidP="00835AA7">
      <w:pPr>
        <w:pStyle w:val="Heading1"/>
      </w:pPr>
      <w:bookmarkStart w:id="25" w:name="_Toc528845958"/>
      <w:r>
        <w:lastRenderedPageBreak/>
        <w:t>Case Study</w:t>
      </w:r>
      <w:bookmarkEnd w:id="25"/>
    </w:p>
    <w:p w:rsidR="0028598A" w:rsidRPr="00C96F1A" w:rsidRDefault="00B625AF" w:rsidP="00835AA7">
      <w:pPr>
        <w:pStyle w:val="Heading3"/>
      </w:pPr>
      <w:r w:rsidRPr="00C96F1A">
        <w:t>Dollars and Sense</w:t>
      </w:r>
    </w:p>
    <w:p w:rsidR="005831D2" w:rsidRDefault="005831D2" w:rsidP="00FC4865">
      <w:pPr>
        <w:rPr>
          <w:rFonts w:ascii="Arial" w:hAnsi="Arial" w:cs="Arial"/>
        </w:rPr>
      </w:pPr>
      <w:r>
        <w:rPr>
          <w:rFonts w:ascii="Arial" w:hAnsi="Arial" w:cs="Arial"/>
        </w:rPr>
        <w:t>IMAGE 1: TOWN HOUSES</w:t>
      </w:r>
    </w:p>
    <w:p w:rsidR="005831D2" w:rsidRDefault="005831D2" w:rsidP="00FC4865">
      <w:r>
        <w:t>IMAGE 2:</w:t>
      </w:r>
      <w:r w:rsidR="001D33DB">
        <w:t xml:space="preserve"> THREE PEOPLE STANDING NEAR A WINDOW</w:t>
      </w:r>
    </w:p>
    <w:p w:rsidR="00FC4865" w:rsidRPr="00FC4865" w:rsidRDefault="00FC4865" w:rsidP="00FC4865">
      <w:r w:rsidRPr="00FC4865">
        <w:t xml:space="preserve">The </w:t>
      </w:r>
      <w:r w:rsidRPr="00FC4865">
        <w:rPr>
          <w:i/>
        </w:rPr>
        <w:t>Dollars and Sense – Skillsets for Successful Tenancies</w:t>
      </w:r>
      <w:r w:rsidRPr="00FC4865">
        <w:t xml:space="preserve"> project that emerged from the 2017 Housing and Homelessness Services Innovation Challenge. </w:t>
      </w:r>
    </w:p>
    <w:p w:rsidR="00FC4865" w:rsidRPr="00FC4865" w:rsidRDefault="00FC4865" w:rsidP="00FC4865">
      <w:r w:rsidRPr="00FC4865">
        <w:t xml:space="preserve">Often when people’s tenancies fail, their only option is social housing or a reliance on more costly forms of government assistance. </w:t>
      </w:r>
    </w:p>
    <w:p w:rsidR="00FC4865" w:rsidRPr="00FC4865" w:rsidRDefault="00FC4865" w:rsidP="00FC4865">
      <w:r w:rsidRPr="00FC4865">
        <w:t xml:space="preserve">The nine-month trial is offering training to 230 people in Ipswich, Logan and Toowoomba to help provide them with the tenancy skills to rent successfully. </w:t>
      </w:r>
    </w:p>
    <w:p w:rsidR="00FC4865" w:rsidRPr="00FC4865" w:rsidRDefault="00FC4865" w:rsidP="00FC4865">
      <w:r w:rsidRPr="00FC4865">
        <w:t xml:space="preserve">To bring the project to life, the team partnered with inCommunity Inc., a community housing provider based in Ipswich that has developed a competency-based tenancy skills training program for their clients. inCommunity has been working closely with the real estate sector to identify key skill gaps of private rental tenants. </w:t>
      </w:r>
    </w:p>
    <w:p w:rsidR="00FC4865" w:rsidRPr="00FC4865" w:rsidRDefault="00FC4865" w:rsidP="00FC4865">
      <w:r w:rsidRPr="00FC4865">
        <w:t xml:space="preserve">Skills include how to communicate with tenancy managers, cleaning, budgeting, rights and responsibilities, and having the financial skills to rent and to save. </w:t>
      </w:r>
    </w:p>
    <w:p w:rsidR="00FC4865" w:rsidRPr="00FC4865" w:rsidRDefault="00FC4865" w:rsidP="00FC4865">
      <w:r w:rsidRPr="00FC4865">
        <w:t xml:space="preserve">RentConnect officers identify clients who could benefit from the training and then refer them to inCommunity to undertake the training. </w:t>
      </w:r>
    </w:p>
    <w:p w:rsidR="00FC4865" w:rsidRPr="00FC4865" w:rsidRDefault="00FC4865" w:rsidP="00FC4865">
      <w:r w:rsidRPr="00FC4865">
        <w:t xml:space="preserve">At the end of the training the clients are assessed for competency. If they pass, they receive a graduation certificate which they can submit with their rental applications and increase their chances in today’s competitive private rental market. </w:t>
      </w:r>
    </w:p>
    <w:p w:rsidR="00FC4865" w:rsidRPr="00FC4865" w:rsidRDefault="00FC4865" w:rsidP="00FC4865">
      <w:r w:rsidRPr="00FC4865">
        <w:t xml:space="preserve">The students are tracked as they go through the training and after they graduate to see how the training has affected their housing outcomes. </w:t>
      </w:r>
    </w:p>
    <w:p w:rsidR="00FC4865" w:rsidRPr="00FC4865" w:rsidRDefault="00FC4865" w:rsidP="00FC4865">
      <w:r w:rsidRPr="00FC4865">
        <w:t xml:space="preserve">The Dollars and Sense project produces tangible outcomes and helps people get practical life skills, while real estate agents get good tenants. </w:t>
      </w:r>
    </w:p>
    <w:p w:rsidR="00FC4865" w:rsidRPr="00FC4865" w:rsidRDefault="00FC4865" w:rsidP="00FC4865">
      <w:r w:rsidRPr="00FC4865">
        <w:t xml:space="preserve">The official launches were held in Ipswich in April and Logan in May. Toowoomba will be launched on 2 August. By mid-July, 81 people had completed training, 26 had sourced a private rental property since graduating and 16 real estate agents had endorsed the training. </w:t>
      </w:r>
    </w:p>
    <w:p w:rsidR="00FC4865" w:rsidRPr="00FC4865" w:rsidRDefault="00FC4865" w:rsidP="00FC4865">
      <w:r w:rsidRPr="00FC4865">
        <w:t>The trial concludes in November 2018, with a view to rolling out a broader training program across the state.</w:t>
      </w:r>
    </w:p>
    <w:p w:rsidR="00473495" w:rsidRDefault="00473495" w:rsidP="00FC4865">
      <w:pPr>
        <w:spacing w:before="0" w:after="0"/>
        <w:rPr>
          <w:rFonts w:asciiTheme="majorHAnsi" w:eastAsiaTheme="majorEastAsia" w:hAnsiTheme="majorHAnsi" w:cstheme="majorBidi"/>
          <w:b/>
          <w:bCs/>
          <w:kern w:val="32"/>
          <w:sz w:val="40"/>
          <w:szCs w:val="32"/>
        </w:rPr>
      </w:pPr>
      <w:r>
        <w:br w:type="page"/>
      </w:r>
    </w:p>
    <w:p w:rsidR="00247724" w:rsidRDefault="00247724" w:rsidP="00A20AA1">
      <w:pPr>
        <w:pStyle w:val="Heading1"/>
      </w:pPr>
      <w:bookmarkStart w:id="26" w:name="_Toc528845959"/>
      <w:r>
        <w:lastRenderedPageBreak/>
        <w:t xml:space="preserve">Our </w:t>
      </w:r>
      <w:bookmarkStart w:id="27" w:name="SERVICE_AREAS_START"/>
      <w:r>
        <w:t xml:space="preserve">service </w:t>
      </w:r>
      <w:bookmarkEnd w:id="27"/>
      <w:r>
        <w:t>areas</w:t>
      </w:r>
      <w:bookmarkEnd w:id="26"/>
    </w:p>
    <w:p w:rsidR="0028598A" w:rsidRPr="00C96F1A" w:rsidRDefault="00B625AF" w:rsidP="00247724">
      <w:pPr>
        <w:pStyle w:val="Heading2"/>
      </w:pPr>
      <w:bookmarkStart w:id="28" w:name="_Toc528845960"/>
      <w:r w:rsidRPr="00C96F1A">
        <w:t>Housing and Homelessness Services</w:t>
      </w:r>
      <w:bookmarkEnd w:id="28"/>
    </w:p>
    <w:p w:rsidR="0028598A" w:rsidRPr="00C96F1A" w:rsidRDefault="00B625AF" w:rsidP="00D806AE">
      <w:pPr>
        <w:pStyle w:val="Heading3"/>
      </w:pPr>
      <w:r w:rsidRPr="00C96F1A">
        <w:t>Our objective</w:t>
      </w:r>
    </w:p>
    <w:p w:rsidR="0028598A" w:rsidRPr="00C96F1A" w:rsidRDefault="00B625AF" w:rsidP="00C96F1A">
      <w:pPr>
        <w:rPr>
          <w:rFonts w:ascii="Arial" w:hAnsi="Arial" w:cs="Arial"/>
        </w:rPr>
      </w:pPr>
      <w:r w:rsidRPr="00C96F1A">
        <w:rPr>
          <w:rFonts w:ascii="Arial" w:hAnsi="Arial" w:cs="Arial"/>
        </w:rPr>
        <w:t>To deliver quality frontline human services by providing responsive and integrated housing and homelessness support services to vulnerable Queenslanders.</w:t>
      </w:r>
    </w:p>
    <w:p w:rsidR="0028598A" w:rsidRPr="00C96F1A" w:rsidRDefault="00B625AF" w:rsidP="00D806AE">
      <w:pPr>
        <w:pStyle w:val="Heading3"/>
      </w:pPr>
      <w:r w:rsidRPr="00C96F1A">
        <w:t>What we do</w:t>
      </w:r>
    </w:p>
    <w:p w:rsidR="00EF541B" w:rsidRPr="00EF541B" w:rsidRDefault="00EF541B" w:rsidP="00EF541B">
      <w:pPr>
        <w:rPr>
          <w:rFonts w:ascii="Arial" w:hAnsi="Arial" w:cs="Arial"/>
        </w:rPr>
      </w:pPr>
      <w:r w:rsidRPr="00EF541B">
        <w:rPr>
          <w:rFonts w:ascii="Arial" w:hAnsi="Arial" w:cs="Arial"/>
        </w:rPr>
        <w:t xml:space="preserve">Housing and Homelessness Services provides housing assistance and homelessness support services to Queenslanders most in need, for the duration of their need, through a mix of direct delivery and arrangements with funded service providers. This includes remote Aboriginal and Torres Strait Islander housing, social and private housing assistance, homelessness support services and crisis accommodation. </w:t>
      </w:r>
    </w:p>
    <w:p w:rsidR="00EF541B" w:rsidRPr="00EF541B" w:rsidRDefault="00EF541B" w:rsidP="00EF541B">
      <w:pPr>
        <w:rPr>
          <w:rFonts w:ascii="Arial" w:hAnsi="Arial" w:cs="Arial"/>
        </w:rPr>
      </w:pPr>
      <w:r w:rsidRPr="00EF541B">
        <w:rPr>
          <w:rFonts w:ascii="Arial" w:hAnsi="Arial" w:cs="Arial"/>
        </w:rPr>
        <w:t xml:space="preserve">Housing and Homelessness Services also includes regulatory services which regulates residential services, and the residential parks, retirement villages, and manufactured homes industries in Queensland. It oversees the National Regulatory System for Community Housing in the state and the Queensland State Regulatory System for Community Housing through registration, monitoring and regulation of Queensland’s community housing providers. It provides uniform legislation to ensure legislative and consumer protection requirements are being met by industry. Regulatory Services operates independently from the funding arm of Housing and Homelessness Services. </w:t>
      </w:r>
    </w:p>
    <w:p w:rsidR="0028598A" w:rsidRPr="00C96F1A" w:rsidRDefault="00B625AF" w:rsidP="00D806AE">
      <w:pPr>
        <w:pStyle w:val="Heading3"/>
      </w:pPr>
      <w:r w:rsidRPr="00C96F1A">
        <w:t>Our services</w:t>
      </w:r>
    </w:p>
    <w:p w:rsidR="00A20AA1" w:rsidRPr="00A20AA1" w:rsidRDefault="00B625AF" w:rsidP="00D806AE">
      <w:pPr>
        <w:pStyle w:val="ListParagraph"/>
        <w:numPr>
          <w:ilvl w:val="0"/>
          <w:numId w:val="24"/>
        </w:numPr>
        <w:rPr>
          <w:rFonts w:ascii="Arial" w:hAnsi="Arial" w:cs="Arial"/>
        </w:rPr>
      </w:pPr>
      <w:r w:rsidRPr="00A20AA1">
        <w:rPr>
          <w:rFonts w:ascii="Arial" w:hAnsi="Arial" w:cs="Arial"/>
        </w:rPr>
        <w:t>Housing Services</w:t>
      </w:r>
    </w:p>
    <w:p w:rsidR="0028598A" w:rsidRPr="00A20AA1" w:rsidRDefault="00B625AF" w:rsidP="00D806AE">
      <w:pPr>
        <w:pStyle w:val="ListParagraph"/>
        <w:numPr>
          <w:ilvl w:val="0"/>
          <w:numId w:val="24"/>
        </w:numPr>
        <w:rPr>
          <w:rFonts w:ascii="Arial" w:hAnsi="Arial" w:cs="Arial"/>
        </w:rPr>
      </w:pPr>
      <w:r w:rsidRPr="00A20AA1">
        <w:rPr>
          <w:rFonts w:ascii="Arial" w:hAnsi="Arial" w:cs="Arial"/>
        </w:rPr>
        <w:t>Homelessness Services</w:t>
      </w:r>
    </w:p>
    <w:p w:rsidR="00886D98" w:rsidRPr="00473495" w:rsidRDefault="00886D98" w:rsidP="00D806AE">
      <w:pPr>
        <w:pStyle w:val="Heading3"/>
      </w:pPr>
      <w:r>
        <w:t>Key statistics</w:t>
      </w:r>
    </w:p>
    <w:p w:rsidR="002D537F" w:rsidRPr="007050FC" w:rsidRDefault="002D537F" w:rsidP="002D537F">
      <w:pPr>
        <w:tabs>
          <w:tab w:val="left" w:pos="5528"/>
          <w:tab w:val="left" w:pos="6708"/>
          <w:tab w:val="left" w:pos="7888"/>
          <w:tab w:val="left" w:pos="9110"/>
          <w:tab w:val="left" w:pos="10290"/>
          <w:tab w:val="left" w:pos="11471"/>
          <w:tab w:val="left" w:pos="12651"/>
          <w:tab w:val="left" w:pos="13831"/>
          <w:tab w:val="left" w:pos="15011"/>
          <w:tab w:val="left" w:pos="16191"/>
          <w:tab w:val="left" w:pos="17371"/>
          <w:tab w:val="left" w:pos="18551"/>
        </w:tabs>
        <w:spacing w:before="0" w:after="0"/>
        <w:ind w:left="108"/>
        <w:rPr>
          <w:rFonts w:asciiTheme="majorHAnsi" w:eastAsia="Times New Roman" w:hAnsiTheme="majorHAnsi" w:cstheme="majorHAnsi"/>
          <w:sz w:val="20"/>
          <w:szCs w:val="20"/>
          <w:lang w:val="en-AU" w:eastAsia="en-AU"/>
        </w:rPr>
      </w:pPr>
      <w:r w:rsidRPr="00A20AA1">
        <w:rPr>
          <w:rFonts w:asciiTheme="majorHAnsi" w:eastAsia="Times New Roman" w:hAnsiTheme="majorHAnsi" w:cstheme="majorHAnsi"/>
          <w:b/>
          <w:bCs/>
          <w:color w:val="000000"/>
          <w:szCs w:val="22"/>
          <w:lang w:val="en-AU" w:eastAsia="en-AU"/>
        </w:rPr>
        <w:t xml:space="preserve">Percentage of new households assisted into </w:t>
      </w:r>
      <w:r w:rsidR="00FC4865">
        <w:rPr>
          <w:rFonts w:asciiTheme="majorHAnsi" w:eastAsia="Times New Roman" w:hAnsiTheme="majorHAnsi" w:cstheme="majorHAnsi"/>
          <w:b/>
          <w:bCs/>
          <w:color w:val="000000"/>
          <w:szCs w:val="22"/>
          <w:lang w:val="en-AU" w:eastAsia="en-AU"/>
        </w:rPr>
        <w:t>g</w:t>
      </w:r>
      <w:r w:rsidRPr="00A20AA1">
        <w:rPr>
          <w:rFonts w:asciiTheme="majorHAnsi" w:eastAsia="Times New Roman" w:hAnsiTheme="majorHAnsi" w:cstheme="majorHAnsi"/>
          <w:b/>
          <w:bCs/>
          <w:color w:val="000000"/>
          <w:szCs w:val="22"/>
          <w:lang w:val="en-AU" w:eastAsia="en-AU"/>
        </w:rPr>
        <w:t>overnment-managed social rental housing who were in very high or high need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ey statistics"/>
        <w:tblDescription w:val="Percentage of new households assisted into government-managed social rental housing who were in very high or high need (%)"/>
      </w:tblPr>
      <w:tblGrid>
        <w:gridCol w:w="3689"/>
        <w:gridCol w:w="1512"/>
        <w:gridCol w:w="1513"/>
        <w:gridCol w:w="1513"/>
        <w:gridCol w:w="1513"/>
      </w:tblGrid>
      <w:tr w:rsidR="002D537F" w:rsidRPr="007050FC" w:rsidTr="00BD5DDA">
        <w:trPr>
          <w:trHeight w:val="300"/>
        </w:trPr>
        <w:tc>
          <w:tcPr>
            <w:tcW w:w="1747" w:type="pct"/>
            <w:shd w:val="clear" w:color="auto" w:fill="auto"/>
            <w:noWrap/>
            <w:vAlign w:val="bottom"/>
            <w:hideMark/>
          </w:tcPr>
          <w:p w:rsidR="002D537F" w:rsidRPr="002D537F" w:rsidRDefault="002D537F" w:rsidP="00BD5DDA">
            <w:pPr>
              <w:spacing w:before="0" w:after="0"/>
              <w:rPr>
                <w:rFonts w:asciiTheme="majorHAnsi" w:eastAsia="Times New Roman" w:hAnsiTheme="majorHAnsi" w:cstheme="majorHAnsi"/>
                <w:sz w:val="24"/>
                <w:szCs w:val="20"/>
                <w:lang w:val="en-AU" w:eastAsia="en-AU"/>
              </w:rPr>
            </w:pPr>
          </w:p>
        </w:tc>
        <w:tc>
          <w:tcPr>
            <w:tcW w:w="813"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b/>
                <w:bCs/>
                <w:color w:val="000000"/>
                <w:lang w:val="en-AU" w:eastAsia="en-AU"/>
              </w:rPr>
            </w:pPr>
            <w:r w:rsidRPr="002D537F">
              <w:rPr>
                <w:rFonts w:asciiTheme="majorHAnsi" w:eastAsia="Times New Roman" w:hAnsiTheme="majorHAnsi" w:cstheme="majorHAnsi"/>
                <w:b/>
                <w:bCs/>
                <w:color w:val="000000"/>
                <w:szCs w:val="22"/>
                <w:lang w:val="en-AU" w:eastAsia="en-AU"/>
              </w:rPr>
              <w:t>September</w:t>
            </w:r>
          </w:p>
        </w:tc>
        <w:tc>
          <w:tcPr>
            <w:tcW w:w="813"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b/>
                <w:bCs/>
                <w:color w:val="000000"/>
                <w:lang w:val="en-AU" w:eastAsia="en-AU"/>
              </w:rPr>
            </w:pPr>
            <w:r w:rsidRPr="002D537F">
              <w:rPr>
                <w:rFonts w:asciiTheme="majorHAnsi" w:eastAsia="Times New Roman" w:hAnsiTheme="majorHAnsi" w:cstheme="majorHAnsi"/>
                <w:b/>
                <w:bCs/>
                <w:color w:val="000000"/>
                <w:szCs w:val="22"/>
                <w:lang w:val="en-AU" w:eastAsia="en-AU"/>
              </w:rPr>
              <w:t>December</w:t>
            </w:r>
          </w:p>
        </w:tc>
        <w:tc>
          <w:tcPr>
            <w:tcW w:w="813"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b/>
                <w:bCs/>
                <w:color w:val="000000"/>
                <w:lang w:val="en-AU" w:eastAsia="en-AU"/>
              </w:rPr>
            </w:pPr>
            <w:r w:rsidRPr="002D537F">
              <w:rPr>
                <w:rFonts w:asciiTheme="majorHAnsi" w:eastAsia="Times New Roman" w:hAnsiTheme="majorHAnsi" w:cstheme="majorHAnsi"/>
                <w:b/>
                <w:bCs/>
                <w:color w:val="000000"/>
                <w:szCs w:val="22"/>
                <w:lang w:val="en-AU" w:eastAsia="en-AU"/>
              </w:rPr>
              <w:t>March</w:t>
            </w:r>
          </w:p>
        </w:tc>
        <w:tc>
          <w:tcPr>
            <w:tcW w:w="813"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b/>
                <w:bCs/>
                <w:color w:val="000000"/>
                <w:lang w:val="en-AU" w:eastAsia="en-AU"/>
              </w:rPr>
            </w:pPr>
            <w:r w:rsidRPr="002D537F">
              <w:rPr>
                <w:rFonts w:asciiTheme="majorHAnsi" w:eastAsia="Times New Roman" w:hAnsiTheme="majorHAnsi" w:cstheme="majorHAnsi"/>
                <w:b/>
                <w:bCs/>
                <w:color w:val="000000"/>
                <w:szCs w:val="22"/>
                <w:lang w:val="en-AU" w:eastAsia="en-AU"/>
              </w:rPr>
              <w:t>June</w:t>
            </w:r>
          </w:p>
        </w:tc>
      </w:tr>
      <w:tr w:rsidR="002D537F" w:rsidRPr="007050FC" w:rsidTr="00BD5DDA">
        <w:trPr>
          <w:trHeight w:val="300"/>
        </w:trPr>
        <w:tc>
          <w:tcPr>
            <w:tcW w:w="1747" w:type="pct"/>
            <w:shd w:val="clear" w:color="auto" w:fill="auto"/>
            <w:noWrap/>
            <w:vAlign w:val="bottom"/>
            <w:hideMark/>
          </w:tcPr>
          <w:p w:rsidR="002D537F" w:rsidRPr="002D537F" w:rsidRDefault="002D537F" w:rsidP="00BD5DDA">
            <w:pPr>
              <w:spacing w:before="0" w:after="0"/>
              <w:rPr>
                <w:rFonts w:asciiTheme="majorHAnsi" w:eastAsia="Times New Roman" w:hAnsiTheme="majorHAnsi" w:cstheme="majorHAnsi"/>
                <w:b/>
                <w:bCs/>
                <w:color w:val="000000" w:themeColor="text1"/>
                <w:lang w:val="en-AU" w:eastAsia="en-AU"/>
              </w:rPr>
            </w:pPr>
            <w:r w:rsidRPr="002D537F">
              <w:rPr>
                <w:rFonts w:asciiTheme="majorHAnsi" w:eastAsia="Times New Roman" w:hAnsiTheme="majorHAnsi" w:cstheme="majorHAnsi"/>
                <w:b/>
                <w:bCs/>
                <w:color w:val="000000" w:themeColor="text1"/>
                <w:szCs w:val="22"/>
                <w:lang w:val="en-AU" w:eastAsia="en-AU"/>
              </w:rPr>
              <w:t>Result 17-18</w:t>
            </w:r>
          </w:p>
        </w:tc>
        <w:tc>
          <w:tcPr>
            <w:tcW w:w="813"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94.5</w:t>
            </w:r>
          </w:p>
        </w:tc>
        <w:tc>
          <w:tcPr>
            <w:tcW w:w="813"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93.7</w:t>
            </w:r>
          </w:p>
        </w:tc>
        <w:tc>
          <w:tcPr>
            <w:tcW w:w="813"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93.2</w:t>
            </w:r>
          </w:p>
        </w:tc>
        <w:tc>
          <w:tcPr>
            <w:tcW w:w="813"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93.4</w:t>
            </w:r>
          </w:p>
        </w:tc>
      </w:tr>
      <w:tr w:rsidR="002D537F" w:rsidRPr="007050FC" w:rsidTr="00BD5DDA">
        <w:trPr>
          <w:trHeight w:val="300"/>
        </w:trPr>
        <w:tc>
          <w:tcPr>
            <w:tcW w:w="1747" w:type="pct"/>
            <w:shd w:val="clear" w:color="auto" w:fill="auto"/>
            <w:noWrap/>
            <w:vAlign w:val="bottom"/>
            <w:hideMark/>
          </w:tcPr>
          <w:p w:rsidR="002D537F" w:rsidRPr="002D537F" w:rsidRDefault="002D537F" w:rsidP="00BD5DDA">
            <w:pPr>
              <w:spacing w:before="0" w:after="0"/>
              <w:rPr>
                <w:rFonts w:asciiTheme="majorHAnsi" w:eastAsia="Times New Roman" w:hAnsiTheme="majorHAnsi" w:cstheme="majorHAnsi"/>
                <w:b/>
                <w:bCs/>
                <w:color w:val="000000" w:themeColor="text1"/>
                <w:lang w:val="en-AU" w:eastAsia="en-AU"/>
              </w:rPr>
            </w:pPr>
            <w:r w:rsidRPr="002D537F">
              <w:rPr>
                <w:rFonts w:asciiTheme="majorHAnsi" w:eastAsia="Times New Roman" w:hAnsiTheme="majorHAnsi" w:cstheme="majorHAnsi"/>
                <w:b/>
                <w:bCs/>
                <w:color w:val="000000" w:themeColor="text1"/>
                <w:szCs w:val="22"/>
                <w:lang w:val="en-AU" w:eastAsia="en-AU"/>
              </w:rPr>
              <w:t>Result 16-17</w:t>
            </w:r>
          </w:p>
        </w:tc>
        <w:tc>
          <w:tcPr>
            <w:tcW w:w="813" w:type="pct"/>
            <w:shd w:val="clear" w:color="auto" w:fill="auto"/>
            <w:noWrap/>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91.7</w:t>
            </w:r>
          </w:p>
        </w:tc>
        <w:tc>
          <w:tcPr>
            <w:tcW w:w="813" w:type="pct"/>
            <w:shd w:val="clear" w:color="auto" w:fill="auto"/>
            <w:noWrap/>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91.5</w:t>
            </w:r>
          </w:p>
        </w:tc>
        <w:tc>
          <w:tcPr>
            <w:tcW w:w="813" w:type="pct"/>
            <w:shd w:val="clear" w:color="auto" w:fill="auto"/>
            <w:noWrap/>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91.7</w:t>
            </w:r>
          </w:p>
        </w:tc>
        <w:tc>
          <w:tcPr>
            <w:tcW w:w="813" w:type="pct"/>
            <w:shd w:val="clear" w:color="auto" w:fill="auto"/>
            <w:noWrap/>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91.8</w:t>
            </w:r>
          </w:p>
        </w:tc>
      </w:tr>
      <w:tr w:rsidR="002D537F" w:rsidRPr="007050FC" w:rsidTr="00BD5DDA">
        <w:trPr>
          <w:trHeight w:val="300"/>
        </w:trPr>
        <w:tc>
          <w:tcPr>
            <w:tcW w:w="1747" w:type="pct"/>
            <w:shd w:val="clear" w:color="auto" w:fill="auto"/>
            <w:noWrap/>
            <w:vAlign w:val="bottom"/>
            <w:hideMark/>
          </w:tcPr>
          <w:p w:rsidR="002D537F" w:rsidRPr="002D537F" w:rsidRDefault="002D537F" w:rsidP="00BD5DDA">
            <w:pPr>
              <w:spacing w:before="0" w:after="0"/>
              <w:rPr>
                <w:rFonts w:asciiTheme="majorHAnsi" w:eastAsia="Times New Roman" w:hAnsiTheme="majorHAnsi" w:cstheme="majorHAnsi"/>
                <w:b/>
                <w:bCs/>
                <w:color w:val="000000" w:themeColor="text1"/>
                <w:lang w:val="en-AU" w:eastAsia="en-AU"/>
              </w:rPr>
            </w:pPr>
            <w:r w:rsidRPr="002D537F">
              <w:rPr>
                <w:rFonts w:asciiTheme="majorHAnsi" w:eastAsia="Times New Roman" w:hAnsiTheme="majorHAnsi" w:cstheme="majorHAnsi"/>
                <w:b/>
                <w:bCs/>
                <w:color w:val="000000" w:themeColor="text1"/>
                <w:szCs w:val="22"/>
                <w:lang w:val="en-AU" w:eastAsia="en-AU"/>
              </w:rPr>
              <w:t>Result 15-16</w:t>
            </w:r>
          </w:p>
        </w:tc>
        <w:tc>
          <w:tcPr>
            <w:tcW w:w="813"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92.2</w:t>
            </w:r>
          </w:p>
        </w:tc>
        <w:tc>
          <w:tcPr>
            <w:tcW w:w="813"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90.8</w:t>
            </w:r>
          </w:p>
        </w:tc>
        <w:tc>
          <w:tcPr>
            <w:tcW w:w="813"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91.0</w:t>
            </w:r>
          </w:p>
        </w:tc>
        <w:tc>
          <w:tcPr>
            <w:tcW w:w="813"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91.0</w:t>
            </w:r>
          </w:p>
        </w:tc>
      </w:tr>
      <w:tr w:rsidR="002D537F" w:rsidRPr="007050FC" w:rsidTr="00BD5DDA">
        <w:trPr>
          <w:trHeight w:val="300"/>
        </w:trPr>
        <w:tc>
          <w:tcPr>
            <w:tcW w:w="1747" w:type="pct"/>
            <w:shd w:val="clear" w:color="auto" w:fill="auto"/>
            <w:noWrap/>
            <w:vAlign w:val="bottom"/>
            <w:hideMark/>
          </w:tcPr>
          <w:p w:rsidR="002D537F" w:rsidRPr="002D537F" w:rsidRDefault="002D537F" w:rsidP="00BD5DDA">
            <w:pPr>
              <w:spacing w:before="0" w:after="0"/>
              <w:rPr>
                <w:rFonts w:asciiTheme="majorHAnsi" w:eastAsia="Times New Roman" w:hAnsiTheme="majorHAnsi" w:cstheme="majorHAnsi"/>
                <w:b/>
                <w:bCs/>
                <w:color w:val="000000" w:themeColor="text1"/>
                <w:lang w:val="en-AU" w:eastAsia="en-AU"/>
              </w:rPr>
            </w:pPr>
            <w:r w:rsidRPr="002D537F">
              <w:rPr>
                <w:rFonts w:asciiTheme="majorHAnsi" w:eastAsia="Times New Roman" w:hAnsiTheme="majorHAnsi" w:cstheme="majorHAnsi"/>
                <w:b/>
                <w:bCs/>
                <w:color w:val="000000" w:themeColor="text1"/>
                <w:szCs w:val="22"/>
                <w:lang w:val="en-AU" w:eastAsia="en-AU"/>
              </w:rPr>
              <w:t>Target 15-16; 16-17 &amp; 17-18: 90</w:t>
            </w:r>
            <w:r w:rsidRPr="007050FC">
              <w:rPr>
                <w:rFonts w:asciiTheme="majorHAnsi" w:eastAsia="Times New Roman" w:hAnsiTheme="majorHAnsi" w:cstheme="majorHAnsi"/>
                <w:b/>
                <w:bCs/>
                <w:color w:val="000000" w:themeColor="text1"/>
                <w:szCs w:val="22"/>
                <w:lang w:val="en-AU" w:eastAsia="en-AU"/>
              </w:rPr>
              <w:t xml:space="preserve"> %</w:t>
            </w:r>
          </w:p>
        </w:tc>
        <w:tc>
          <w:tcPr>
            <w:tcW w:w="813"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90</w:t>
            </w:r>
          </w:p>
        </w:tc>
        <w:tc>
          <w:tcPr>
            <w:tcW w:w="813"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90</w:t>
            </w:r>
          </w:p>
        </w:tc>
        <w:tc>
          <w:tcPr>
            <w:tcW w:w="813"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90</w:t>
            </w:r>
          </w:p>
        </w:tc>
        <w:tc>
          <w:tcPr>
            <w:tcW w:w="813"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90</w:t>
            </w:r>
          </w:p>
        </w:tc>
      </w:tr>
      <w:tr w:rsidR="002D537F" w:rsidRPr="007050FC" w:rsidTr="00BD5DDA">
        <w:trPr>
          <w:trHeight w:val="300"/>
        </w:trPr>
        <w:tc>
          <w:tcPr>
            <w:tcW w:w="1747" w:type="pct"/>
            <w:shd w:val="clear" w:color="auto" w:fill="auto"/>
            <w:noWrap/>
            <w:vAlign w:val="bottom"/>
            <w:hideMark/>
          </w:tcPr>
          <w:p w:rsidR="002D537F" w:rsidRPr="002D537F" w:rsidRDefault="002D537F" w:rsidP="00BD5DDA">
            <w:pPr>
              <w:spacing w:before="0" w:after="0"/>
              <w:rPr>
                <w:rFonts w:asciiTheme="majorHAnsi" w:eastAsia="Times New Roman" w:hAnsiTheme="majorHAnsi" w:cstheme="majorHAnsi"/>
                <w:b/>
                <w:bCs/>
                <w:color w:val="000000" w:themeColor="text1"/>
                <w:lang w:val="en-AU" w:eastAsia="en-AU"/>
              </w:rPr>
            </w:pPr>
            <w:r w:rsidRPr="002D537F">
              <w:rPr>
                <w:rFonts w:asciiTheme="majorHAnsi" w:eastAsia="Times New Roman" w:hAnsiTheme="majorHAnsi" w:cstheme="majorHAnsi"/>
                <w:b/>
                <w:bCs/>
                <w:color w:val="000000" w:themeColor="text1"/>
                <w:szCs w:val="22"/>
                <w:lang w:val="en-AU" w:eastAsia="en-AU"/>
              </w:rPr>
              <w:t>Target 14-15: 92</w:t>
            </w:r>
            <w:r w:rsidRPr="007050FC">
              <w:rPr>
                <w:rFonts w:asciiTheme="majorHAnsi" w:eastAsia="Times New Roman" w:hAnsiTheme="majorHAnsi" w:cstheme="majorHAnsi"/>
                <w:b/>
                <w:bCs/>
                <w:color w:val="000000" w:themeColor="text1"/>
                <w:szCs w:val="22"/>
                <w:lang w:val="en-AU" w:eastAsia="en-AU"/>
              </w:rPr>
              <w:t xml:space="preserve"> %</w:t>
            </w:r>
          </w:p>
        </w:tc>
        <w:tc>
          <w:tcPr>
            <w:tcW w:w="813"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92</w:t>
            </w:r>
          </w:p>
        </w:tc>
        <w:tc>
          <w:tcPr>
            <w:tcW w:w="813"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92</w:t>
            </w:r>
          </w:p>
        </w:tc>
        <w:tc>
          <w:tcPr>
            <w:tcW w:w="813"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92</w:t>
            </w:r>
          </w:p>
        </w:tc>
        <w:tc>
          <w:tcPr>
            <w:tcW w:w="813"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92</w:t>
            </w:r>
          </w:p>
        </w:tc>
      </w:tr>
    </w:tbl>
    <w:p w:rsidR="002D537F" w:rsidRPr="007050FC" w:rsidRDefault="002D537F" w:rsidP="002D537F">
      <w:pPr>
        <w:rPr>
          <w:rFonts w:asciiTheme="majorHAnsi" w:hAnsiTheme="majorHAnsi" w:cstheme="majorHAnsi"/>
          <w:color w:val="000000" w:themeColor="text1"/>
        </w:rPr>
      </w:pPr>
    </w:p>
    <w:p w:rsidR="005D7744" w:rsidRDefault="005D7744">
      <w:pPr>
        <w:spacing w:before="0" w:after="0"/>
        <w:rPr>
          <w:rFonts w:asciiTheme="majorHAnsi" w:eastAsia="Times New Roman" w:hAnsiTheme="majorHAnsi" w:cstheme="majorHAnsi"/>
          <w:b/>
          <w:bCs/>
          <w:color w:val="000000" w:themeColor="text1"/>
          <w:szCs w:val="22"/>
          <w:lang w:val="en-AU" w:eastAsia="en-AU"/>
        </w:rPr>
      </w:pPr>
      <w:r>
        <w:rPr>
          <w:rFonts w:asciiTheme="majorHAnsi" w:eastAsia="Times New Roman" w:hAnsiTheme="majorHAnsi" w:cstheme="majorHAnsi"/>
          <w:b/>
          <w:bCs/>
          <w:color w:val="000000" w:themeColor="text1"/>
          <w:szCs w:val="22"/>
          <w:lang w:val="en-AU" w:eastAsia="en-AU"/>
        </w:rPr>
        <w:br w:type="page"/>
      </w:r>
    </w:p>
    <w:p w:rsidR="002D537F" w:rsidRPr="007050FC" w:rsidRDefault="002D537F" w:rsidP="002D537F">
      <w:pPr>
        <w:tabs>
          <w:tab w:val="left" w:pos="3509"/>
          <w:tab w:val="left" w:pos="5662"/>
          <w:tab w:val="left" w:pos="7814"/>
        </w:tabs>
        <w:spacing w:before="0" w:after="0"/>
        <w:rPr>
          <w:rFonts w:asciiTheme="majorHAnsi" w:eastAsia="Times New Roman" w:hAnsiTheme="majorHAnsi" w:cstheme="majorHAnsi"/>
          <w:color w:val="000000" w:themeColor="text1"/>
          <w:sz w:val="20"/>
          <w:szCs w:val="20"/>
          <w:lang w:val="en-AU" w:eastAsia="en-AU"/>
        </w:rPr>
      </w:pPr>
      <w:r w:rsidRPr="002D537F">
        <w:rPr>
          <w:rFonts w:asciiTheme="majorHAnsi" w:eastAsia="Times New Roman" w:hAnsiTheme="majorHAnsi" w:cstheme="majorHAnsi"/>
          <w:b/>
          <w:bCs/>
          <w:color w:val="000000" w:themeColor="text1"/>
          <w:szCs w:val="22"/>
          <w:lang w:val="en-AU" w:eastAsia="en-AU"/>
        </w:rPr>
        <w:lastRenderedPageBreak/>
        <w:t>Proportion of total new households assisted to remain in or move to the private housing rental market that were assisted through National Rental Affordability Scheme, RentConnect, Rental Grants, Bond Loans, Housing and Employment Program or Queensland Tenant Advice and Referral Service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1578"/>
        <w:gridCol w:w="1578"/>
        <w:gridCol w:w="1578"/>
        <w:gridCol w:w="1572"/>
      </w:tblGrid>
      <w:tr w:rsidR="002D537F" w:rsidRPr="007050FC" w:rsidTr="00BD5DDA">
        <w:trPr>
          <w:trHeight w:val="300"/>
        </w:trPr>
        <w:tc>
          <w:tcPr>
            <w:tcW w:w="1763" w:type="pct"/>
            <w:shd w:val="clear" w:color="auto" w:fill="auto"/>
            <w:noWrap/>
            <w:vAlign w:val="bottom"/>
            <w:hideMark/>
          </w:tcPr>
          <w:p w:rsidR="002D537F" w:rsidRPr="002D537F" w:rsidRDefault="002D537F" w:rsidP="00BD5DDA">
            <w:pPr>
              <w:spacing w:before="0" w:after="0"/>
              <w:rPr>
                <w:rFonts w:asciiTheme="majorHAnsi" w:eastAsia="Times New Roman" w:hAnsiTheme="majorHAnsi" w:cstheme="majorHAnsi"/>
                <w:color w:val="000000" w:themeColor="text1"/>
                <w:sz w:val="20"/>
                <w:szCs w:val="20"/>
                <w:lang w:val="en-AU" w:eastAsia="en-AU"/>
              </w:rPr>
            </w:pPr>
          </w:p>
        </w:tc>
        <w:tc>
          <w:tcPr>
            <w:tcW w:w="81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b/>
                <w:bCs/>
                <w:color w:val="000000" w:themeColor="text1"/>
                <w:lang w:val="en-AU" w:eastAsia="en-AU"/>
              </w:rPr>
            </w:pPr>
            <w:r w:rsidRPr="002D537F">
              <w:rPr>
                <w:rFonts w:asciiTheme="majorHAnsi" w:eastAsia="Times New Roman" w:hAnsiTheme="majorHAnsi" w:cstheme="majorHAnsi"/>
                <w:b/>
                <w:bCs/>
                <w:color w:val="000000" w:themeColor="text1"/>
                <w:szCs w:val="22"/>
                <w:lang w:val="en-AU" w:eastAsia="en-AU"/>
              </w:rPr>
              <w:t>September</w:t>
            </w:r>
          </w:p>
        </w:tc>
        <w:tc>
          <w:tcPr>
            <w:tcW w:w="81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b/>
                <w:bCs/>
                <w:color w:val="000000" w:themeColor="text1"/>
                <w:lang w:val="en-AU" w:eastAsia="en-AU"/>
              </w:rPr>
            </w:pPr>
            <w:r w:rsidRPr="002D537F">
              <w:rPr>
                <w:rFonts w:asciiTheme="majorHAnsi" w:eastAsia="Times New Roman" w:hAnsiTheme="majorHAnsi" w:cstheme="majorHAnsi"/>
                <w:b/>
                <w:bCs/>
                <w:color w:val="000000" w:themeColor="text1"/>
                <w:szCs w:val="22"/>
                <w:lang w:val="en-AU" w:eastAsia="en-AU"/>
              </w:rPr>
              <w:t>December</w:t>
            </w:r>
          </w:p>
        </w:tc>
        <w:tc>
          <w:tcPr>
            <w:tcW w:w="81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b/>
                <w:bCs/>
                <w:color w:val="000000" w:themeColor="text1"/>
                <w:lang w:val="en-AU" w:eastAsia="en-AU"/>
              </w:rPr>
            </w:pPr>
            <w:r w:rsidRPr="002D537F">
              <w:rPr>
                <w:rFonts w:asciiTheme="majorHAnsi" w:eastAsia="Times New Roman" w:hAnsiTheme="majorHAnsi" w:cstheme="majorHAnsi"/>
                <w:b/>
                <w:bCs/>
                <w:color w:val="000000" w:themeColor="text1"/>
                <w:szCs w:val="22"/>
                <w:lang w:val="en-AU" w:eastAsia="en-AU"/>
              </w:rPr>
              <w:t>March</w:t>
            </w:r>
          </w:p>
        </w:tc>
        <w:tc>
          <w:tcPr>
            <w:tcW w:w="808"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b/>
                <w:bCs/>
                <w:color w:val="000000" w:themeColor="text1"/>
                <w:lang w:val="en-AU" w:eastAsia="en-AU"/>
              </w:rPr>
            </w:pPr>
            <w:r w:rsidRPr="002D537F">
              <w:rPr>
                <w:rFonts w:asciiTheme="majorHAnsi" w:eastAsia="Times New Roman" w:hAnsiTheme="majorHAnsi" w:cstheme="majorHAnsi"/>
                <w:b/>
                <w:bCs/>
                <w:color w:val="000000" w:themeColor="text1"/>
                <w:szCs w:val="22"/>
                <w:lang w:val="en-AU" w:eastAsia="en-AU"/>
              </w:rPr>
              <w:t>June</w:t>
            </w:r>
          </w:p>
        </w:tc>
      </w:tr>
      <w:tr w:rsidR="002D537F" w:rsidRPr="007050FC" w:rsidTr="00BD5DDA">
        <w:trPr>
          <w:trHeight w:val="300"/>
        </w:trPr>
        <w:tc>
          <w:tcPr>
            <w:tcW w:w="1763" w:type="pct"/>
            <w:shd w:val="clear" w:color="auto" w:fill="auto"/>
            <w:noWrap/>
            <w:vAlign w:val="bottom"/>
            <w:hideMark/>
          </w:tcPr>
          <w:p w:rsidR="002D537F" w:rsidRPr="002D537F" w:rsidRDefault="002D537F" w:rsidP="00BD5DDA">
            <w:pPr>
              <w:spacing w:before="0" w:after="0"/>
              <w:rPr>
                <w:rFonts w:asciiTheme="majorHAnsi" w:eastAsia="Times New Roman" w:hAnsiTheme="majorHAnsi" w:cstheme="majorHAnsi"/>
                <w:b/>
                <w:bCs/>
                <w:color w:val="000000" w:themeColor="text1"/>
                <w:lang w:val="en-AU" w:eastAsia="en-AU"/>
              </w:rPr>
            </w:pPr>
            <w:r w:rsidRPr="002D537F">
              <w:rPr>
                <w:rFonts w:asciiTheme="majorHAnsi" w:eastAsia="Times New Roman" w:hAnsiTheme="majorHAnsi" w:cstheme="majorHAnsi"/>
                <w:b/>
                <w:bCs/>
                <w:color w:val="000000" w:themeColor="text1"/>
                <w:szCs w:val="22"/>
                <w:lang w:val="en-AU" w:eastAsia="en-AU"/>
              </w:rPr>
              <w:t>Result 17-18</w:t>
            </w:r>
          </w:p>
        </w:tc>
        <w:tc>
          <w:tcPr>
            <w:tcW w:w="810" w:type="pct"/>
            <w:shd w:val="clear" w:color="auto" w:fill="auto"/>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73.6</w:t>
            </w:r>
          </w:p>
        </w:tc>
        <w:tc>
          <w:tcPr>
            <w:tcW w:w="810" w:type="pct"/>
            <w:shd w:val="clear" w:color="auto" w:fill="auto"/>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78</w:t>
            </w:r>
          </w:p>
        </w:tc>
        <w:tc>
          <w:tcPr>
            <w:tcW w:w="810" w:type="pct"/>
            <w:shd w:val="clear" w:color="auto" w:fill="auto"/>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80.4</w:t>
            </w:r>
          </w:p>
        </w:tc>
        <w:tc>
          <w:tcPr>
            <w:tcW w:w="808" w:type="pct"/>
            <w:shd w:val="clear" w:color="auto" w:fill="auto"/>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81.7</w:t>
            </w:r>
          </w:p>
        </w:tc>
      </w:tr>
      <w:tr w:rsidR="002D537F" w:rsidRPr="007050FC" w:rsidTr="00BD5DDA">
        <w:trPr>
          <w:trHeight w:val="300"/>
        </w:trPr>
        <w:tc>
          <w:tcPr>
            <w:tcW w:w="1763" w:type="pct"/>
            <w:shd w:val="clear" w:color="auto" w:fill="auto"/>
            <w:noWrap/>
            <w:vAlign w:val="bottom"/>
            <w:hideMark/>
          </w:tcPr>
          <w:p w:rsidR="002D537F" w:rsidRPr="002D537F" w:rsidRDefault="002D537F" w:rsidP="00BD5DDA">
            <w:pPr>
              <w:spacing w:before="0" w:after="0"/>
              <w:rPr>
                <w:rFonts w:asciiTheme="majorHAnsi" w:eastAsia="Times New Roman" w:hAnsiTheme="majorHAnsi" w:cstheme="majorHAnsi"/>
                <w:b/>
                <w:bCs/>
                <w:color w:val="000000" w:themeColor="text1"/>
                <w:lang w:val="en-AU" w:eastAsia="en-AU"/>
              </w:rPr>
            </w:pPr>
            <w:r w:rsidRPr="002D537F">
              <w:rPr>
                <w:rFonts w:asciiTheme="majorHAnsi" w:eastAsia="Times New Roman" w:hAnsiTheme="majorHAnsi" w:cstheme="majorHAnsi"/>
                <w:b/>
                <w:bCs/>
                <w:color w:val="000000" w:themeColor="text1"/>
                <w:szCs w:val="22"/>
                <w:lang w:val="en-AU" w:eastAsia="en-AU"/>
              </w:rPr>
              <w:t>Result 16-17</w:t>
            </w:r>
          </w:p>
        </w:tc>
        <w:tc>
          <w:tcPr>
            <w:tcW w:w="81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43.8</w:t>
            </w:r>
          </w:p>
        </w:tc>
        <w:tc>
          <w:tcPr>
            <w:tcW w:w="81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46.8</w:t>
            </w:r>
          </w:p>
        </w:tc>
        <w:tc>
          <w:tcPr>
            <w:tcW w:w="81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51.2</w:t>
            </w:r>
          </w:p>
        </w:tc>
        <w:tc>
          <w:tcPr>
            <w:tcW w:w="808"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52.8</w:t>
            </w:r>
          </w:p>
        </w:tc>
      </w:tr>
      <w:tr w:rsidR="002D537F" w:rsidRPr="007050FC" w:rsidTr="00BD5DDA">
        <w:trPr>
          <w:trHeight w:val="300"/>
        </w:trPr>
        <w:tc>
          <w:tcPr>
            <w:tcW w:w="1763" w:type="pct"/>
            <w:shd w:val="clear" w:color="auto" w:fill="auto"/>
            <w:noWrap/>
            <w:vAlign w:val="bottom"/>
            <w:hideMark/>
          </w:tcPr>
          <w:p w:rsidR="002D537F" w:rsidRPr="002D537F" w:rsidRDefault="002D537F" w:rsidP="00BD5DDA">
            <w:pPr>
              <w:spacing w:before="0" w:after="0"/>
              <w:rPr>
                <w:rFonts w:asciiTheme="majorHAnsi" w:eastAsia="Times New Roman" w:hAnsiTheme="majorHAnsi" w:cstheme="majorHAnsi"/>
                <w:b/>
                <w:bCs/>
                <w:color w:val="000000" w:themeColor="text1"/>
                <w:lang w:val="en-AU" w:eastAsia="en-AU"/>
              </w:rPr>
            </w:pPr>
            <w:r w:rsidRPr="002D537F">
              <w:rPr>
                <w:rFonts w:asciiTheme="majorHAnsi" w:eastAsia="Times New Roman" w:hAnsiTheme="majorHAnsi" w:cstheme="majorHAnsi"/>
                <w:b/>
                <w:bCs/>
                <w:color w:val="000000" w:themeColor="text1"/>
                <w:szCs w:val="22"/>
                <w:lang w:val="en-AU" w:eastAsia="en-AU"/>
              </w:rPr>
              <w:t>Result 15-16</w:t>
            </w:r>
          </w:p>
        </w:tc>
        <w:tc>
          <w:tcPr>
            <w:tcW w:w="81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41.9</w:t>
            </w:r>
          </w:p>
        </w:tc>
        <w:tc>
          <w:tcPr>
            <w:tcW w:w="81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47.0</w:t>
            </w:r>
          </w:p>
        </w:tc>
        <w:tc>
          <w:tcPr>
            <w:tcW w:w="81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49.4</w:t>
            </w:r>
          </w:p>
        </w:tc>
        <w:tc>
          <w:tcPr>
            <w:tcW w:w="808"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51.6</w:t>
            </w:r>
          </w:p>
        </w:tc>
      </w:tr>
      <w:tr w:rsidR="002D537F" w:rsidRPr="007050FC" w:rsidTr="00BD5DDA">
        <w:trPr>
          <w:trHeight w:val="300"/>
        </w:trPr>
        <w:tc>
          <w:tcPr>
            <w:tcW w:w="1763" w:type="pct"/>
            <w:shd w:val="clear" w:color="auto" w:fill="auto"/>
            <w:noWrap/>
            <w:vAlign w:val="bottom"/>
            <w:hideMark/>
          </w:tcPr>
          <w:p w:rsidR="002D537F" w:rsidRPr="002D537F" w:rsidRDefault="002D537F" w:rsidP="00BD5DDA">
            <w:pPr>
              <w:spacing w:before="0" w:after="0"/>
              <w:rPr>
                <w:rFonts w:asciiTheme="majorHAnsi" w:eastAsia="Times New Roman" w:hAnsiTheme="majorHAnsi" w:cstheme="majorHAnsi"/>
                <w:b/>
                <w:bCs/>
                <w:color w:val="000000" w:themeColor="text1"/>
                <w:lang w:val="en-AU" w:eastAsia="en-AU"/>
              </w:rPr>
            </w:pPr>
            <w:r w:rsidRPr="002D537F">
              <w:rPr>
                <w:rFonts w:asciiTheme="majorHAnsi" w:eastAsia="Times New Roman" w:hAnsiTheme="majorHAnsi" w:cstheme="majorHAnsi"/>
                <w:b/>
                <w:bCs/>
                <w:color w:val="000000" w:themeColor="text1"/>
                <w:szCs w:val="22"/>
                <w:lang w:val="en-AU" w:eastAsia="en-AU"/>
              </w:rPr>
              <w:t>Target 17-18: 71</w:t>
            </w:r>
            <w:r w:rsidRPr="007050FC">
              <w:rPr>
                <w:rFonts w:asciiTheme="majorHAnsi" w:eastAsia="Times New Roman" w:hAnsiTheme="majorHAnsi" w:cstheme="majorHAnsi"/>
                <w:b/>
                <w:bCs/>
                <w:color w:val="000000" w:themeColor="text1"/>
                <w:szCs w:val="22"/>
                <w:lang w:val="en-AU" w:eastAsia="en-AU"/>
              </w:rPr>
              <w:t>%</w:t>
            </w:r>
          </w:p>
        </w:tc>
        <w:tc>
          <w:tcPr>
            <w:tcW w:w="81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71</w:t>
            </w:r>
          </w:p>
        </w:tc>
        <w:tc>
          <w:tcPr>
            <w:tcW w:w="81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71</w:t>
            </w:r>
          </w:p>
        </w:tc>
        <w:tc>
          <w:tcPr>
            <w:tcW w:w="81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71</w:t>
            </w:r>
          </w:p>
        </w:tc>
        <w:tc>
          <w:tcPr>
            <w:tcW w:w="808"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71</w:t>
            </w:r>
          </w:p>
        </w:tc>
      </w:tr>
      <w:tr w:rsidR="002D537F" w:rsidRPr="007050FC" w:rsidTr="00BD5DDA">
        <w:trPr>
          <w:trHeight w:val="300"/>
        </w:trPr>
        <w:tc>
          <w:tcPr>
            <w:tcW w:w="1763" w:type="pct"/>
            <w:shd w:val="clear" w:color="auto" w:fill="auto"/>
            <w:noWrap/>
            <w:vAlign w:val="bottom"/>
            <w:hideMark/>
          </w:tcPr>
          <w:p w:rsidR="002D537F" w:rsidRPr="002D537F" w:rsidRDefault="002D537F" w:rsidP="00BD5DDA">
            <w:pPr>
              <w:spacing w:before="0" w:after="0"/>
              <w:rPr>
                <w:rFonts w:asciiTheme="majorHAnsi" w:eastAsia="Times New Roman" w:hAnsiTheme="majorHAnsi" w:cstheme="majorHAnsi"/>
                <w:b/>
                <w:bCs/>
                <w:color w:val="000000" w:themeColor="text1"/>
                <w:lang w:val="en-AU" w:eastAsia="en-AU"/>
              </w:rPr>
            </w:pPr>
            <w:r w:rsidRPr="002D537F">
              <w:rPr>
                <w:rFonts w:asciiTheme="majorHAnsi" w:eastAsia="Times New Roman" w:hAnsiTheme="majorHAnsi" w:cstheme="majorHAnsi"/>
                <w:b/>
                <w:bCs/>
                <w:color w:val="000000" w:themeColor="text1"/>
                <w:szCs w:val="22"/>
                <w:lang w:val="en-AU" w:eastAsia="en-AU"/>
              </w:rPr>
              <w:t>Target 16-17: 45</w:t>
            </w:r>
            <w:r w:rsidRPr="007050FC">
              <w:rPr>
                <w:rFonts w:asciiTheme="majorHAnsi" w:eastAsia="Times New Roman" w:hAnsiTheme="majorHAnsi" w:cstheme="majorHAnsi"/>
                <w:b/>
                <w:bCs/>
                <w:color w:val="000000" w:themeColor="text1"/>
                <w:szCs w:val="22"/>
                <w:lang w:val="en-AU" w:eastAsia="en-AU"/>
              </w:rPr>
              <w:t>%</w:t>
            </w:r>
          </w:p>
        </w:tc>
        <w:tc>
          <w:tcPr>
            <w:tcW w:w="81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45</w:t>
            </w:r>
          </w:p>
        </w:tc>
        <w:tc>
          <w:tcPr>
            <w:tcW w:w="81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45</w:t>
            </w:r>
          </w:p>
        </w:tc>
        <w:tc>
          <w:tcPr>
            <w:tcW w:w="81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45</w:t>
            </w:r>
          </w:p>
        </w:tc>
        <w:tc>
          <w:tcPr>
            <w:tcW w:w="808"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45</w:t>
            </w:r>
          </w:p>
        </w:tc>
      </w:tr>
      <w:tr w:rsidR="002D537F" w:rsidRPr="007050FC" w:rsidTr="00BD5DDA">
        <w:trPr>
          <w:trHeight w:val="300"/>
        </w:trPr>
        <w:tc>
          <w:tcPr>
            <w:tcW w:w="1763" w:type="pct"/>
            <w:shd w:val="clear" w:color="auto" w:fill="auto"/>
            <w:noWrap/>
            <w:vAlign w:val="bottom"/>
            <w:hideMark/>
          </w:tcPr>
          <w:p w:rsidR="002D537F" w:rsidRPr="002D537F" w:rsidRDefault="002D537F" w:rsidP="00BD5DDA">
            <w:pPr>
              <w:spacing w:before="0" w:after="0"/>
              <w:rPr>
                <w:rFonts w:asciiTheme="majorHAnsi" w:eastAsia="Times New Roman" w:hAnsiTheme="majorHAnsi" w:cstheme="majorHAnsi"/>
                <w:b/>
                <w:bCs/>
                <w:color w:val="000000" w:themeColor="text1"/>
                <w:lang w:val="en-AU" w:eastAsia="en-AU"/>
              </w:rPr>
            </w:pPr>
            <w:r w:rsidRPr="002D537F">
              <w:rPr>
                <w:rFonts w:asciiTheme="majorHAnsi" w:eastAsia="Times New Roman" w:hAnsiTheme="majorHAnsi" w:cstheme="majorHAnsi"/>
                <w:b/>
                <w:bCs/>
                <w:color w:val="000000" w:themeColor="text1"/>
                <w:szCs w:val="22"/>
                <w:lang w:val="en-AU" w:eastAsia="en-AU"/>
              </w:rPr>
              <w:t>Target 15-16: 47</w:t>
            </w:r>
            <w:r w:rsidRPr="007050FC">
              <w:rPr>
                <w:rFonts w:asciiTheme="majorHAnsi" w:eastAsia="Times New Roman" w:hAnsiTheme="majorHAnsi" w:cstheme="majorHAnsi"/>
                <w:b/>
                <w:bCs/>
                <w:color w:val="000000" w:themeColor="text1"/>
                <w:szCs w:val="22"/>
                <w:lang w:val="en-AU" w:eastAsia="en-AU"/>
              </w:rPr>
              <w:t>%</w:t>
            </w:r>
          </w:p>
        </w:tc>
        <w:tc>
          <w:tcPr>
            <w:tcW w:w="81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47</w:t>
            </w:r>
          </w:p>
        </w:tc>
        <w:tc>
          <w:tcPr>
            <w:tcW w:w="81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47</w:t>
            </w:r>
          </w:p>
        </w:tc>
        <w:tc>
          <w:tcPr>
            <w:tcW w:w="81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47</w:t>
            </w:r>
          </w:p>
        </w:tc>
        <w:tc>
          <w:tcPr>
            <w:tcW w:w="808"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47</w:t>
            </w:r>
          </w:p>
        </w:tc>
      </w:tr>
    </w:tbl>
    <w:p w:rsidR="002D537F" w:rsidRPr="007050FC" w:rsidRDefault="002D537F" w:rsidP="002D537F">
      <w:pPr>
        <w:rPr>
          <w:rFonts w:asciiTheme="majorHAnsi" w:hAnsiTheme="majorHAnsi" w:cstheme="majorHAnsi"/>
          <w:color w:val="000000" w:themeColor="text1"/>
        </w:rPr>
      </w:pPr>
    </w:p>
    <w:p w:rsidR="002D537F" w:rsidRPr="007050FC" w:rsidRDefault="002D537F" w:rsidP="002D537F">
      <w:pPr>
        <w:tabs>
          <w:tab w:val="left" w:pos="5528"/>
          <w:tab w:val="left" w:pos="9043"/>
          <w:tab w:val="left" w:pos="10223"/>
        </w:tabs>
        <w:spacing w:before="0" w:after="0"/>
        <w:ind w:left="108"/>
        <w:rPr>
          <w:rFonts w:asciiTheme="majorHAnsi" w:eastAsia="Times New Roman" w:hAnsiTheme="majorHAnsi" w:cstheme="majorHAnsi"/>
          <w:color w:val="000000" w:themeColor="text1"/>
          <w:sz w:val="20"/>
          <w:szCs w:val="20"/>
          <w:lang w:val="en-AU" w:eastAsia="en-AU"/>
        </w:rPr>
      </w:pPr>
      <w:r w:rsidRPr="002D537F">
        <w:rPr>
          <w:rFonts w:asciiTheme="majorHAnsi" w:eastAsia="Times New Roman" w:hAnsiTheme="majorHAnsi" w:cstheme="majorHAnsi"/>
          <w:b/>
          <w:bCs/>
          <w:color w:val="000000" w:themeColor="text1"/>
          <w:szCs w:val="22"/>
          <w:lang w:val="en-AU" w:eastAsia="en-AU"/>
        </w:rPr>
        <w:t>Percentage of department owned social rental housing dwellings in acceptable condition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520"/>
        <w:gridCol w:w="1597"/>
        <w:gridCol w:w="1597"/>
        <w:gridCol w:w="1595"/>
      </w:tblGrid>
      <w:tr w:rsidR="002D537F" w:rsidRPr="007050FC" w:rsidTr="00BD5DDA">
        <w:trPr>
          <w:trHeight w:val="300"/>
        </w:trPr>
        <w:tc>
          <w:tcPr>
            <w:tcW w:w="1761" w:type="pct"/>
            <w:shd w:val="clear" w:color="auto" w:fill="auto"/>
            <w:noWrap/>
            <w:vAlign w:val="bottom"/>
            <w:hideMark/>
          </w:tcPr>
          <w:p w:rsidR="002D537F" w:rsidRPr="002D537F" w:rsidRDefault="002D537F" w:rsidP="00BD5DDA">
            <w:pPr>
              <w:spacing w:before="0" w:after="0"/>
              <w:rPr>
                <w:rFonts w:asciiTheme="majorHAnsi" w:eastAsia="Times New Roman" w:hAnsiTheme="majorHAnsi" w:cstheme="majorHAnsi"/>
                <w:color w:val="000000" w:themeColor="text1"/>
                <w:sz w:val="20"/>
                <w:szCs w:val="20"/>
                <w:lang w:val="en-AU" w:eastAsia="en-AU"/>
              </w:rPr>
            </w:pPr>
          </w:p>
        </w:tc>
        <w:tc>
          <w:tcPr>
            <w:tcW w:w="78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b/>
                <w:bCs/>
                <w:color w:val="000000" w:themeColor="text1"/>
                <w:lang w:val="en-AU" w:eastAsia="en-AU"/>
              </w:rPr>
            </w:pPr>
            <w:r w:rsidRPr="002D537F">
              <w:rPr>
                <w:rFonts w:asciiTheme="majorHAnsi" w:eastAsia="Times New Roman" w:hAnsiTheme="majorHAnsi" w:cstheme="majorHAnsi"/>
                <w:b/>
                <w:bCs/>
                <w:color w:val="000000" w:themeColor="text1"/>
                <w:szCs w:val="22"/>
                <w:lang w:val="en-AU" w:eastAsia="en-AU"/>
              </w:rPr>
              <w:t>September</w:t>
            </w:r>
          </w:p>
        </w:tc>
        <w:tc>
          <w:tcPr>
            <w:tcW w:w="82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b/>
                <w:bCs/>
                <w:color w:val="000000" w:themeColor="text1"/>
                <w:lang w:val="en-AU" w:eastAsia="en-AU"/>
              </w:rPr>
            </w:pPr>
            <w:r w:rsidRPr="002D537F">
              <w:rPr>
                <w:rFonts w:asciiTheme="majorHAnsi" w:eastAsia="Times New Roman" w:hAnsiTheme="majorHAnsi" w:cstheme="majorHAnsi"/>
                <w:b/>
                <w:bCs/>
                <w:color w:val="000000" w:themeColor="text1"/>
                <w:szCs w:val="22"/>
                <w:lang w:val="en-AU" w:eastAsia="en-AU"/>
              </w:rPr>
              <w:t>December</w:t>
            </w:r>
          </w:p>
        </w:tc>
        <w:tc>
          <w:tcPr>
            <w:tcW w:w="82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b/>
                <w:bCs/>
                <w:color w:val="000000" w:themeColor="text1"/>
                <w:lang w:val="en-AU" w:eastAsia="en-AU"/>
              </w:rPr>
            </w:pPr>
            <w:r w:rsidRPr="002D537F">
              <w:rPr>
                <w:rFonts w:asciiTheme="majorHAnsi" w:eastAsia="Times New Roman" w:hAnsiTheme="majorHAnsi" w:cstheme="majorHAnsi"/>
                <w:b/>
                <w:bCs/>
                <w:color w:val="000000" w:themeColor="text1"/>
                <w:szCs w:val="22"/>
                <w:lang w:val="en-AU" w:eastAsia="en-AU"/>
              </w:rPr>
              <w:t>March</w:t>
            </w:r>
          </w:p>
        </w:tc>
        <w:tc>
          <w:tcPr>
            <w:tcW w:w="82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b/>
                <w:bCs/>
                <w:color w:val="000000" w:themeColor="text1"/>
                <w:lang w:val="en-AU" w:eastAsia="en-AU"/>
              </w:rPr>
            </w:pPr>
            <w:r w:rsidRPr="002D537F">
              <w:rPr>
                <w:rFonts w:asciiTheme="majorHAnsi" w:eastAsia="Times New Roman" w:hAnsiTheme="majorHAnsi" w:cstheme="majorHAnsi"/>
                <w:b/>
                <w:bCs/>
                <w:color w:val="000000" w:themeColor="text1"/>
                <w:szCs w:val="22"/>
                <w:lang w:val="en-AU" w:eastAsia="en-AU"/>
              </w:rPr>
              <w:t>June</w:t>
            </w:r>
          </w:p>
        </w:tc>
      </w:tr>
      <w:tr w:rsidR="002D537F" w:rsidRPr="007050FC" w:rsidTr="00BD5DDA">
        <w:trPr>
          <w:trHeight w:val="300"/>
        </w:trPr>
        <w:tc>
          <w:tcPr>
            <w:tcW w:w="1761" w:type="pct"/>
            <w:shd w:val="clear" w:color="auto" w:fill="auto"/>
            <w:noWrap/>
            <w:vAlign w:val="bottom"/>
            <w:hideMark/>
          </w:tcPr>
          <w:p w:rsidR="002D537F" w:rsidRPr="002D537F" w:rsidRDefault="002D537F" w:rsidP="00BD5DDA">
            <w:pPr>
              <w:spacing w:before="0" w:after="0"/>
              <w:rPr>
                <w:rFonts w:asciiTheme="majorHAnsi" w:eastAsia="Times New Roman" w:hAnsiTheme="majorHAnsi" w:cstheme="majorHAnsi"/>
                <w:b/>
                <w:bCs/>
                <w:color w:val="000000" w:themeColor="text1"/>
                <w:lang w:val="en-AU" w:eastAsia="en-AU"/>
              </w:rPr>
            </w:pPr>
            <w:r w:rsidRPr="002D537F">
              <w:rPr>
                <w:rFonts w:asciiTheme="majorHAnsi" w:eastAsia="Times New Roman" w:hAnsiTheme="majorHAnsi" w:cstheme="majorHAnsi"/>
                <w:b/>
                <w:bCs/>
                <w:color w:val="000000" w:themeColor="text1"/>
                <w:szCs w:val="22"/>
                <w:lang w:val="en-AU" w:eastAsia="en-AU"/>
              </w:rPr>
              <w:t>Result 17-18</w:t>
            </w:r>
          </w:p>
        </w:tc>
        <w:tc>
          <w:tcPr>
            <w:tcW w:w="78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98.4</w:t>
            </w:r>
          </w:p>
        </w:tc>
        <w:tc>
          <w:tcPr>
            <w:tcW w:w="820" w:type="pct"/>
            <w:shd w:val="clear" w:color="auto" w:fill="auto"/>
            <w:noWrap/>
            <w:vAlign w:val="bottom"/>
            <w:hideMark/>
          </w:tcPr>
          <w:p w:rsidR="002D537F" w:rsidRPr="002D537F" w:rsidRDefault="002D537F" w:rsidP="00BD5DDA">
            <w:pPr>
              <w:spacing w:before="0" w:after="0"/>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n.a</w:t>
            </w:r>
          </w:p>
        </w:tc>
        <w:tc>
          <w:tcPr>
            <w:tcW w:w="820" w:type="pct"/>
            <w:shd w:val="clear" w:color="auto" w:fill="auto"/>
            <w:noWrap/>
            <w:vAlign w:val="bottom"/>
            <w:hideMark/>
          </w:tcPr>
          <w:p w:rsidR="002D537F" w:rsidRPr="002D537F" w:rsidRDefault="002D537F" w:rsidP="00BD5DDA">
            <w:pPr>
              <w:spacing w:before="0" w:after="0"/>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n.a</w:t>
            </w:r>
          </w:p>
        </w:tc>
        <w:tc>
          <w:tcPr>
            <w:tcW w:w="82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99.2</w:t>
            </w:r>
          </w:p>
        </w:tc>
      </w:tr>
      <w:tr w:rsidR="002D537F" w:rsidRPr="007050FC" w:rsidTr="00BD5DDA">
        <w:trPr>
          <w:trHeight w:val="300"/>
        </w:trPr>
        <w:tc>
          <w:tcPr>
            <w:tcW w:w="1761" w:type="pct"/>
            <w:shd w:val="clear" w:color="auto" w:fill="auto"/>
            <w:noWrap/>
            <w:vAlign w:val="bottom"/>
            <w:hideMark/>
          </w:tcPr>
          <w:p w:rsidR="002D537F" w:rsidRPr="002D537F" w:rsidRDefault="002D537F" w:rsidP="00BD5DDA">
            <w:pPr>
              <w:spacing w:before="0" w:after="0"/>
              <w:rPr>
                <w:rFonts w:asciiTheme="majorHAnsi" w:eastAsia="Times New Roman" w:hAnsiTheme="majorHAnsi" w:cstheme="majorHAnsi"/>
                <w:b/>
                <w:bCs/>
                <w:color w:val="000000" w:themeColor="text1"/>
                <w:lang w:val="en-AU" w:eastAsia="en-AU"/>
              </w:rPr>
            </w:pPr>
            <w:r w:rsidRPr="002D537F">
              <w:rPr>
                <w:rFonts w:asciiTheme="majorHAnsi" w:eastAsia="Times New Roman" w:hAnsiTheme="majorHAnsi" w:cstheme="majorHAnsi"/>
                <w:b/>
                <w:bCs/>
                <w:color w:val="000000" w:themeColor="text1"/>
                <w:szCs w:val="22"/>
                <w:lang w:val="en-AU" w:eastAsia="en-AU"/>
              </w:rPr>
              <w:t>Result 16-17</w:t>
            </w:r>
          </w:p>
        </w:tc>
        <w:tc>
          <w:tcPr>
            <w:tcW w:w="78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98.9</w:t>
            </w:r>
          </w:p>
        </w:tc>
        <w:tc>
          <w:tcPr>
            <w:tcW w:w="82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99.0</w:t>
            </w:r>
          </w:p>
        </w:tc>
        <w:tc>
          <w:tcPr>
            <w:tcW w:w="82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99.3</w:t>
            </w:r>
          </w:p>
        </w:tc>
        <w:tc>
          <w:tcPr>
            <w:tcW w:w="82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98.9</w:t>
            </w:r>
          </w:p>
        </w:tc>
      </w:tr>
      <w:tr w:rsidR="002D537F" w:rsidRPr="007050FC" w:rsidTr="00BD5DDA">
        <w:trPr>
          <w:trHeight w:val="300"/>
        </w:trPr>
        <w:tc>
          <w:tcPr>
            <w:tcW w:w="1761" w:type="pct"/>
            <w:shd w:val="clear" w:color="auto" w:fill="auto"/>
            <w:noWrap/>
            <w:vAlign w:val="bottom"/>
            <w:hideMark/>
          </w:tcPr>
          <w:p w:rsidR="002D537F" w:rsidRPr="002D537F" w:rsidRDefault="002D537F" w:rsidP="00BD5DDA">
            <w:pPr>
              <w:spacing w:before="0" w:after="0"/>
              <w:rPr>
                <w:rFonts w:asciiTheme="majorHAnsi" w:eastAsia="Times New Roman" w:hAnsiTheme="majorHAnsi" w:cstheme="majorHAnsi"/>
                <w:b/>
                <w:bCs/>
                <w:color w:val="000000" w:themeColor="text1"/>
                <w:lang w:val="en-AU" w:eastAsia="en-AU"/>
              </w:rPr>
            </w:pPr>
            <w:r w:rsidRPr="002D537F">
              <w:rPr>
                <w:rFonts w:asciiTheme="majorHAnsi" w:eastAsia="Times New Roman" w:hAnsiTheme="majorHAnsi" w:cstheme="majorHAnsi"/>
                <w:b/>
                <w:bCs/>
                <w:color w:val="000000" w:themeColor="text1"/>
                <w:szCs w:val="22"/>
                <w:lang w:val="en-AU" w:eastAsia="en-AU"/>
              </w:rPr>
              <w:t>Result 15-16</w:t>
            </w:r>
          </w:p>
        </w:tc>
        <w:tc>
          <w:tcPr>
            <w:tcW w:w="78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99.1</w:t>
            </w:r>
          </w:p>
        </w:tc>
        <w:tc>
          <w:tcPr>
            <w:tcW w:w="82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99.1</w:t>
            </w:r>
          </w:p>
        </w:tc>
        <w:tc>
          <w:tcPr>
            <w:tcW w:w="82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98.8</w:t>
            </w:r>
          </w:p>
        </w:tc>
        <w:tc>
          <w:tcPr>
            <w:tcW w:w="82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98.9</w:t>
            </w:r>
          </w:p>
        </w:tc>
      </w:tr>
      <w:tr w:rsidR="002D537F" w:rsidRPr="007050FC" w:rsidTr="00BD5DDA">
        <w:trPr>
          <w:trHeight w:val="300"/>
        </w:trPr>
        <w:tc>
          <w:tcPr>
            <w:tcW w:w="1761" w:type="pct"/>
            <w:shd w:val="clear" w:color="auto" w:fill="auto"/>
            <w:noWrap/>
            <w:vAlign w:val="bottom"/>
            <w:hideMark/>
          </w:tcPr>
          <w:p w:rsidR="002D537F" w:rsidRPr="002D537F" w:rsidRDefault="002D537F" w:rsidP="00BD5DDA">
            <w:pPr>
              <w:spacing w:before="0" w:after="0"/>
              <w:rPr>
                <w:rFonts w:asciiTheme="majorHAnsi" w:eastAsia="Times New Roman" w:hAnsiTheme="majorHAnsi" w:cstheme="majorHAnsi"/>
                <w:b/>
                <w:bCs/>
                <w:color w:val="000000" w:themeColor="text1"/>
                <w:lang w:val="en-AU" w:eastAsia="en-AU"/>
              </w:rPr>
            </w:pPr>
            <w:r w:rsidRPr="002D537F">
              <w:rPr>
                <w:rFonts w:asciiTheme="majorHAnsi" w:eastAsia="Times New Roman" w:hAnsiTheme="majorHAnsi" w:cstheme="majorHAnsi"/>
                <w:b/>
                <w:bCs/>
                <w:color w:val="000000" w:themeColor="text1"/>
                <w:szCs w:val="22"/>
                <w:lang w:val="en-AU" w:eastAsia="en-AU"/>
              </w:rPr>
              <w:t>Target 15-16 to 17-18: 98</w:t>
            </w:r>
            <w:r w:rsidRPr="007050FC">
              <w:rPr>
                <w:rFonts w:asciiTheme="majorHAnsi" w:eastAsia="Times New Roman" w:hAnsiTheme="majorHAnsi" w:cstheme="majorHAnsi"/>
                <w:b/>
                <w:bCs/>
                <w:color w:val="000000" w:themeColor="text1"/>
                <w:szCs w:val="22"/>
                <w:lang w:val="en-AU" w:eastAsia="en-AU"/>
              </w:rPr>
              <w:t xml:space="preserve"> %</w:t>
            </w:r>
          </w:p>
        </w:tc>
        <w:tc>
          <w:tcPr>
            <w:tcW w:w="78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98</w:t>
            </w:r>
          </w:p>
        </w:tc>
        <w:tc>
          <w:tcPr>
            <w:tcW w:w="82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98</w:t>
            </w:r>
          </w:p>
        </w:tc>
        <w:tc>
          <w:tcPr>
            <w:tcW w:w="82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98</w:t>
            </w:r>
          </w:p>
        </w:tc>
        <w:tc>
          <w:tcPr>
            <w:tcW w:w="820" w:type="pct"/>
            <w:shd w:val="clear" w:color="auto" w:fill="auto"/>
            <w:noWrap/>
            <w:vAlign w:val="bottom"/>
            <w:hideMark/>
          </w:tcPr>
          <w:p w:rsidR="002D537F" w:rsidRPr="002D537F" w:rsidRDefault="002D537F" w:rsidP="00BD5DDA">
            <w:pPr>
              <w:spacing w:before="0" w:after="0"/>
              <w:jc w:val="right"/>
              <w:rPr>
                <w:rFonts w:asciiTheme="majorHAnsi" w:eastAsia="Times New Roman" w:hAnsiTheme="majorHAnsi" w:cstheme="majorHAnsi"/>
                <w:color w:val="000000" w:themeColor="text1"/>
                <w:lang w:val="en-AU" w:eastAsia="en-AU"/>
              </w:rPr>
            </w:pPr>
            <w:r w:rsidRPr="002D537F">
              <w:rPr>
                <w:rFonts w:asciiTheme="majorHAnsi" w:eastAsia="Times New Roman" w:hAnsiTheme="majorHAnsi" w:cstheme="majorHAnsi"/>
                <w:color w:val="000000" w:themeColor="text1"/>
                <w:szCs w:val="22"/>
                <w:lang w:val="en-AU" w:eastAsia="en-AU"/>
              </w:rPr>
              <w:t>98</w:t>
            </w:r>
          </w:p>
        </w:tc>
      </w:tr>
    </w:tbl>
    <w:p w:rsidR="00550473" w:rsidRPr="007050FC" w:rsidRDefault="00550473" w:rsidP="00C96F1A">
      <w:pPr>
        <w:rPr>
          <w:rFonts w:asciiTheme="majorHAnsi" w:hAnsiTheme="majorHAnsi" w:cstheme="majorHAnsi"/>
        </w:rPr>
      </w:pPr>
    </w:p>
    <w:p w:rsidR="0028598A" w:rsidRPr="00C96F1A" w:rsidRDefault="00B625AF" w:rsidP="00550473">
      <w:pPr>
        <w:pStyle w:val="Heading6"/>
      </w:pPr>
      <w:r w:rsidRPr="00C96F1A">
        <w:t>Housing Construction Jobs Program</w:t>
      </w:r>
      <w:r w:rsidR="00550473">
        <w:t>*</w:t>
      </w:r>
    </w:p>
    <w:tbl>
      <w:tblPr>
        <w:tblStyle w:val="TableGrid"/>
        <w:tblW w:w="0" w:type="auto"/>
        <w:tblLook w:val="04A0" w:firstRow="1" w:lastRow="0" w:firstColumn="1" w:lastColumn="0" w:noHBand="0" w:noVBand="1"/>
      </w:tblPr>
      <w:tblGrid>
        <w:gridCol w:w="4219"/>
        <w:gridCol w:w="2977"/>
      </w:tblGrid>
      <w:tr w:rsidR="00550473" w:rsidRPr="00550473" w:rsidTr="007050FC">
        <w:tc>
          <w:tcPr>
            <w:tcW w:w="4219" w:type="dxa"/>
          </w:tcPr>
          <w:p w:rsidR="00550473" w:rsidRPr="00550473" w:rsidRDefault="00550473" w:rsidP="002D537F">
            <w:pPr>
              <w:rPr>
                <w:rFonts w:ascii="Arial" w:hAnsi="Arial" w:cs="Arial"/>
                <w:b/>
              </w:rPr>
            </w:pPr>
            <w:r w:rsidRPr="00550473">
              <w:rPr>
                <w:rFonts w:ascii="Arial" w:hAnsi="Arial" w:cs="Arial"/>
                <w:b/>
              </w:rPr>
              <w:t>Location</w:t>
            </w:r>
          </w:p>
        </w:tc>
        <w:tc>
          <w:tcPr>
            <w:tcW w:w="2977" w:type="dxa"/>
          </w:tcPr>
          <w:p w:rsidR="00550473" w:rsidRPr="00550473" w:rsidRDefault="00550473" w:rsidP="002D537F">
            <w:pPr>
              <w:rPr>
                <w:rFonts w:ascii="Arial" w:hAnsi="Arial" w:cs="Arial"/>
                <w:b/>
              </w:rPr>
            </w:pPr>
            <w:r w:rsidRPr="00550473">
              <w:rPr>
                <w:rFonts w:ascii="Arial" w:hAnsi="Arial" w:cs="Arial"/>
                <w:b/>
              </w:rPr>
              <w:t>No. of Commencements</w:t>
            </w:r>
          </w:p>
        </w:tc>
      </w:tr>
      <w:tr w:rsidR="00550473" w:rsidTr="007050FC">
        <w:tc>
          <w:tcPr>
            <w:tcW w:w="4219" w:type="dxa"/>
          </w:tcPr>
          <w:p w:rsidR="00550473" w:rsidRDefault="00550473" w:rsidP="002D537F">
            <w:pPr>
              <w:rPr>
                <w:rFonts w:ascii="Arial" w:hAnsi="Arial" w:cs="Arial"/>
              </w:rPr>
            </w:pPr>
            <w:r>
              <w:rPr>
                <w:rFonts w:ascii="Arial" w:hAnsi="Arial" w:cs="Arial"/>
              </w:rPr>
              <w:t>Brisbane</w:t>
            </w:r>
          </w:p>
        </w:tc>
        <w:tc>
          <w:tcPr>
            <w:tcW w:w="2977" w:type="dxa"/>
          </w:tcPr>
          <w:p w:rsidR="00550473" w:rsidRDefault="00550473" w:rsidP="002D537F">
            <w:pPr>
              <w:rPr>
                <w:rFonts w:ascii="Arial" w:hAnsi="Arial" w:cs="Arial"/>
              </w:rPr>
            </w:pPr>
            <w:r>
              <w:rPr>
                <w:rFonts w:ascii="Arial" w:hAnsi="Arial" w:cs="Arial"/>
              </w:rPr>
              <w:t>212</w:t>
            </w:r>
          </w:p>
        </w:tc>
      </w:tr>
      <w:tr w:rsidR="00550473" w:rsidTr="007050FC">
        <w:tc>
          <w:tcPr>
            <w:tcW w:w="4219" w:type="dxa"/>
          </w:tcPr>
          <w:p w:rsidR="00550473" w:rsidRDefault="00550473" w:rsidP="002D537F">
            <w:pPr>
              <w:rPr>
                <w:rFonts w:ascii="Arial" w:hAnsi="Arial" w:cs="Arial"/>
              </w:rPr>
            </w:pPr>
            <w:r>
              <w:rPr>
                <w:rFonts w:ascii="Arial" w:hAnsi="Arial" w:cs="Arial"/>
              </w:rPr>
              <w:t>Cairns</w:t>
            </w:r>
          </w:p>
        </w:tc>
        <w:tc>
          <w:tcPr>
            <w:tcW w:w="2977" w:type="dxa"/>
          </w:tcPr>
          <w:p w:rsidR="00550473" w:rsidRDefault="00550473" w:rsidP="002D537F">
            <w:pPr>
              <w:rPr>
                <w:rFonts w:ascii="Arial" w:hAnsi="Arial" w:cs="Arial"/>
              </w:rPr>
            </w:pPr>
            <w:r>
              <w:rPr>
                <w:rFonts w:ascii="Arial" w:hAnsi="Arial" w:cs="Arial"/>
              </w:rPr>
              <w:t>30</w:t>
            </w:r>
          </w:p>
        </w:tc>
      </w:tr>
      <w:tr w:rsidR="00550473" w:rsidTr="007050FC">
        <w:tc>
          <w:tcPr>
            <w:tcW w:w="4219" w:type="dxa"/>
          </w:tcPr>
          <w:p w:rsidR="00550473" w:rsidRDefault="00550473" w:rsidP="002D537F">
            <w:pPr>
              <w:rPr>
                <w:rFonts w:ascii="Arial" w:hAnsi="Arial" w:cs="Arial"/>
              </w:rPr>
            </w:pPr>
            <w:r>
              <w:rPr>
                <w:rFonts w:ascii="Arial" w:hAnsi="Arial" w:cs="Arial"/>
              </w:rPr>
              <w:t>Central Queensland</w:t>
            </w:r>
          </w:p>
        </w:tc>
        <w:tc>
          <w:tcPr>
            <w:tcW w:w="2977" w:type="dxa"/>
          </w:tcPr>
          <w:p w:rsidR="00550473" w:rsidRDefault="00550473" w:rsidP="002D537F">
            <w:pPr>
              <w:rPr>
                <w:rFonts w:ascii="Arial" w:hAnsi="Arial" w:cs="Arial"/>
              </w:rPr>
            </w:pPr>
            <w:r>
              <w:rPr>
                <w:rFonts w:ascii="Arial" w:hAnsi="Arial" w:cs="Arial"/>
              </w:rPr>
              <w:t>10</w:t>
            </w:r>
          </w:p>
        </w:tc>
      </w:tr>
      <w:tr w:rsidR="00550473" w:rsidTr="007050FC">
        <w:tc>
          <w:tcPr>
            <w:tcW w:w="4219" w:type="dxa"/>
          </w:tcPr>
          <w:p w:rsidR="00550473" w:rsidRDefault="00550473" w:rsidP="002D537F">
            <w:pPr>
              <w:rPr>
                <w:rFonts w:ascii="Arial" w:hAnsi="Arial" w:cs="Arial"/>
              </w:rPr>
            </w:pPr>
            <w:r>
              <w:rPr>
                <w:rFonts w:ascii="Arial" w:hAnsi="Arial" w:cs="Arial"/>
              </w:rPr>
              <w:t>Gold Coast</w:t>
            </w:r>
          </w:p>
        </w:tc>
        <w:tc>
          <w:tcPr>
            <w:tcW w:w="2977" w:type="dxa"/>
          </w:tcPr>
          <w:p w:rsidR="00550473" w:rsidRDefault="00550473" w:rsidP="002D537F">
            <w:pPr>
              <w:rPr>
                <w:rFonts w:ascii="Arial" w:hAnsi="Arial" w:cs="Arial"/>
              </w:rPr>
            </w:pPr>
            <w:r>
              <w:rPr>
                <w:rFonts w:ascii="Arial" w:hAnsi="Arial" w:cs="Arial"/>
              </w:rPr>
              <w:t>60</w:t>
            </w:r>
          </w:p>
        </w:tc>
      </w:tr>
      <w:tr w:rsidR="00550473" w:rsidTr="007050FC">
        <w:tc>
          <w:tcPr>
            <w:tcW w:w="4219" w:type="dxa"/>
          </w:tcPr>
          <w:p w:rsidR="00550473" w:rsidRDefault="00550473" w:rsidP="002D537F">
            <w:pPr>
              <w:rPr>
                <w:rFonts w:ascii="Arial" w:hAnsi="Arial" w:cs="Arial"/>
              </w:rPr>
            </w:pPr>
            <w:r>
              <w:rPr>
                <w:rFonts w:ascii="Arial" w:hAnsi="Arial" w:cs="Arial"/>
              </w:rPr>
              <w:t>Ipswich</w:t>
            </w:r>
          </w:p>
        </w:tc>
        <w:tc>
          <w:tcPr>
            <w:tcW w:w="2977" w:type="dxa"/>
          </w:tcPr>
          <w:p w:rsidR="00550473" w:rsidRDefault="00550473" w:rsidP="002D537F">
            <w:pPr>
              <w:rPr>
                <w:rFonts w:ascii="Arial" w:hAnsi="Arial" w:cs="Arial"/>
              </w:rPr>
            </w:pPr>
            <w:r>
              <w:rPr>
                <w:rFonts w:ascii="Arial" w:hAnsi="Arial" w:cs="Arial"/>
              </w:rPr>
              <w:t>58</w:t>
            </w:r>
          </w:p>
        </w:tc>
      </w:tr>
      <w:tr w:rsidR="00550473" w:rsidTr="007050FC">
        <w:tc>
          <w:tcPr>
            <w:tcW w:w="4219" w:type="dxa"/>
          </w:tcPr>
          <w:p w:rsidR="00550473" w:rsidRDefault="00550473" w:rsidP="002D537F">
            <w:pPr>
              <w:rPr>
                <w:rFonts w:ascii="Arial" w:hAnsi="Arial" w:cs="Arial"/>
              </w:rPr>
            </w:pPr>
            <w:r>
              <w:rPr>
                <w:rFonts w:ascii="Arial" w:hAnsi="Arial" w:cs="Arial"/>
              </w:rPr>
              <w:t>Logan/Redland</w:t>
            </w:r>
          </w:p>
        </w:tc>
        <w:tc>
          <w:tcPr>
            <w:tcW w:w="2977" w:type="dxa"/>
          </w:tcPr>
          <w:p w:rsidR="00550473" w:rsidRDefault="00550473" w:rsidP="002D537F">
            <w:pPr>
              <w:rPr>
                <w:rFonts w:ascii="Arial" w:hAnsi="Arial" w:cs="Arial"/>
              </w:rPr>
            </w:pPr>
            <w:r>
              <w:rPr>
                <w:rFonts w:ascii="Arial" w:hAnsi="Arial" w:cs="Arial"/>
              </w:rPr>
              <w:t>183</w:t>
            </w:r>
          </w:p>
        </w:tc>
      </w:tr>
      <w:tr w:rsidR="00550473" w:rsidTr="007050FC">
        <w:tc>
          <w:tcPr>
            <w:tcW w:w="4219" w:type="dxa"/>
          </w:tcPr>
          <w:p w:rsidR="00550473" w:rsidRDefault="00550473" w:rsidP="002D537F">
            <w:pPr>
              <w:rPr>
                <w:rFonts w:ascii="Arial" w:hAnsi="Arial" w:cs="Arial"/>
              </w:rPr>
            </w:pPr>
            <w:r>
              <w:rPr>
                <w:rFonts w:ascii="Arial" w:hAnsi="Arial" w:cs="Arial"/>
              </w:rPr>
              <w:t>Morton Bay</w:t>
            </w:r>
          </w:p>
        </w:tc>
        <w:tc>
          <w:tcPr>
            <w:tcW w:w="2977" w:type="dxa"/>
          </w:tcPr>
          <w:p w:rsidR="00550473" w:rsidRDefault="00550473" w:rsidP="002D537F">
            <w:pPr>
              <w:rPr>
                <w:rFonts w:ascii="Arial" w:hAnsi="Arial" w:cs="Arial"/>
              </w:rPr>
            </w:pPr>
            <w:r>
              <w:rPr>
                <w:rFonts w:ascii="Arial" w:hAnsi="Arial" w:cs="Arial"/>
              </w:rPr>
              <w:t>90</w:t>
            </w:r>
          </w:p>
        </w:tc>
      </w:tr>
      <w:tr w:rsidR="00550473" w:rsidTr="007050FC">
        <w:tc>
          <w:tcPr>
            <w:tcW w:w="4219" w:type="dxa"/>
          </w:tcPr>
          <w:p w:rsidR="00550473" w:rsidRDefault="00550473" w:rsidP="002D537F">
            <w:pPr>
              <w:rPr>
                <w:rFonts w:ascii="Arial" w:hAnsi="Arial" w:cs="Arial"/>
              </w:rPr>
            </w:pPr>
            <w:r>
              <w:rPr>
                <w:rFonts w:ascii="Arial" w:hAnsi="Arial" w:cs="Arial"/>
              </w:rPr>
              <w:t>Sunshine Coast</w:t>
            </w:r>
          </w:p>
        </w:tc>
        <w:tc>
          <w:tcPr>
            <w:tcW w:w="2977" w:type="dxa"/>
          </w:tcPr>
          <w:p w:rsidR="00550473" w:rsidRDefault="00550473" w:rsidP="002D537F">
            <w:pPr>
              <w:rPr>
                <w:rFonts w:ascii="Arial" w:hAnsi="Arial" w:cs="Arial"/>
              </w:rPr>
            </w:pPr>
            <w:r>
              <w:rPr>
                <w:rFonts w:ascii="Arial" w:hAnsi="Arial" w:cs="Arial"/>
              </w:rPr>
              <w:t>54</w:t>
            </w:r>
          </w:p>
        </w:tc>
      </w:tr>
      <w:tr w:rsidR="00550473" w:rsidTr="007050FC">
        <w:tc>
          <w:tcPr>
            <w:tcW w:w="4219" w:type="dxa"/>
          </w:tcPr>
          <w:p w:rsidR="00550473" w:rsidRDefault="00550473" w:rsidP="002D537F">
            <w:pPr>
              <w:rPr>
                <w:rFonts w:ascii="Arial" w:hAnsi="Arial" w:cs="Arial"/>
              </w:rPr>
            </w:pPr>
            <w:r>
              <w:rPr>
                <w:rFonts w:ascii="Arial" w:hAnsi="Arial" w:cs="Arial"/>
              </w:rPr>
              <w:t>Toowoomba</w:t>
            </w:r>
          </w:p>
        </w:tc>
        <w:tc>
          <w:tcPr>
            <w:tcW w:w="2977" w:type="dxa"/>
          </w:tcPr>
          <w:p w:rsidR="00550473" w:rsidRDefault="00550473" w:rsidP="002D537F">
            <w:pPr>
              <w:rPr>
                <w:rFonts w:ascii="Arial" w:hAnsi="Arial" w:cs="Arial"/>
              </w:rPr>
            </w:pPr>
            <w:r>
              <w:rPr>
                <w:rFonts w:ascii="Arial" w:hAnsi="Arial" w:cs="Arial"/>
              </w:rPr>
              <w:t>16</w:t>
            </w:r>
          </w:p>
        </w:tc>
      </w:tr>
      <w:tr w:rsidR="00550473" w:rsidTr="007050FC">
        <w:tc>
          <w:tcPr>
            <w:tcW w:w="4219" w:type="dxa"/>
          </w:tcPr>
          <w:p w:rsidR="00550473" w:rsidRDefault="00550473" w:rsidP="002D537F">
            <w:pPr>
              <w:rPr>
                <w:rFonts w:ascii="Arial" w:hAnsi="Arial" w:cs="Arial"/>
              </w:rPr>
            </w:pPr>
            <w:r>
              <w:rPr>
                <w:rFonts w:ascii="Arial" w:hAnsi="Arial" w:cs="Arial"/>
              </w:rPr>
              <w:t>Townsville</w:t>
            </w:r>
          </w:p>
        </w:tc>
        <w:tc>
          <w:tcPr>
            <w:tcW w:w="2977" w:type="dxa"/>
          </w:tcPr>
          <w:p w:rsidR="00550473" w:rsidRDefault="00550473" w:rsidP="002D537F">
            <w:pPr>
              <w:rPr>
                <w:rFonts w:ascii="Arial" w:hAnsi="Arial" w:cs="Arial"/>
              </w:rPr>
            </w:pPr>
            <w:r>
              <w:rPr>
                <w:rFonts w:ascii="Arial" w:hAnsi="Arial" w:cs="Arial"/>
              </w:rPr>
              <w:t>69</w:t>
            </w:r>
          </w:p>
        </w:tc>
      </w:tr>
      <w:tr w:rsidR="00550473" w:rsidTr="007050FC">
        <w:tc>
          <w:tcPr>
            <w:tcW w:w="4219" w:type="dxa"/>
          </w:tcPr>
          <w:p w:rsidR="00550473" w:rsidRDefault="00550473" w:rsidP="002D537F">
            <w:pPr>
              <w:rPr>
                <w:rFonts w:ascii="Arial" w:hAnsi="Arial" w:cs="Arial"/>
              </w:rPr>
            </w:pPr>
            <w:r>
              <w:rPr>
                <w:rFonts w:ascii="Arial" w:hAnsi="Arial" w:cs="Arial"/>
              </w:rPr>
              <w:t>Wide Bay/Burnett</w:t>
            </w:r>
          </w:p>
        </w:tc>
        <w:tc>
          <w:tcPr>
            <w:tcW w:w="2977" w:type="dxa"/>
          </w:tcPr>
          <w:p w:rsidR="00550473" w:rsidRDefault="00550473" w:rsidP="002D537F">
            <w:pPr>
              <w:rPr>
                <w:rFonts w:ascii="Arial" w:hAnsi="Arial" w:cs="Arial"/>
              </w:rPr>
            </w:pPr>
            <w:r>
              <w:rPr>
                <w:rFonts w:ascii="Arial" w:hAnsi="Arial" w:cs="Arial"/>
              </w:rPr>
              <w:t>4</w:t>
            </w:r>
          </w:p>
        </w:tc>
      </w:tr>
      <w:tr w:rsidR="00550473" w:rsidTr="007050FC">
        <w:tc>
          <w:tcPr>
            <w:tcW w:w="4219" w:type="dxa"/>
          </w:tcPr>
          <w:p w:rsidR="00550473" w:rsidRDefault="00550473" w:rsidP="002D537F">
            <w:pPr>
              <w:rPr>
                <w:rFonts w:ascii="Arial" w:hAnsi="Arial" w:cs="Arial"/>
              </w:rPr>
            </w:pPr>
            <w:r>
              <w:rPr>
                <w:rFonts w:ascii="Arial" w:hAnsi="Arial" w:cs="Arial"/>
              </w:rPr>
              <w:t>Total Commencements</w:t>
            </w:r>
          </w:p>
        </w:tc>
        <w:tc>
          <w:tcPr>
            <w:tcW w:w="2977" w:type="dxa"/>
          </w:tcPr>
          <w:p w:rsidR="00550473" w:rsidRDefault="00550473" w:rsidP="002D537F">
            <w:pPr>
              <w:rPr>
                <w:rFonts w:ascii="Arial" w:hAnsi="Arial" w:cs="Arial"/>
              </w:rPr>
            </w:pPr>
            <w:r>
              <w:rPr>
                <w:rFonts w:ascii="Arial" w:hAnsi="Arial" w:cs="Arial"/>
              </w:rPr>
              <w:fldChar w:fldCharType="begin"/>
            </w:r>
            <w:r>
              <w:rPr>
                <w:rFonts w:ascii="Arial" w:hAnsi="Arial" w:cs="Arial"/>
              </w:rPr>
              <w:instrText xml:space="preserve"> =SUM(ABOVE) </w:instrText>
            </w:r>
            <w:r>
              <w:rPr>
                <w:rFonts w:ascii="Arial" w:hAnsi="Arial" w:cs="Arial"/>
              </w:rPr>
              <w:fldChar w:fldCharType="separate"/>
            </w:r>
            <w:r w:rsidR="00F029A0">
              <w:rPr>
                <w:rFonts w:ascii="Arial" w:hAnsi="Arial" w:cs="Arial"/>
                <w:noProof/>
              </w:rPr>
              <w:t>786</w:t>
            </w:r>
            <w:r>
              <w:rPr>
                <w:rFonts w:ascii="Arial" w:hAnsi="Arial" w:cs="Arial"/>
              </w:rPr>
              <w:fldChar w:fldCharType="end"/>
            </w:r>
          </w:p>
        </w:tc>
      </w:tr>
    </w:tbl>
    <w:p w:rsidR="002D537F" w:rsidRPr="00550473" w:rsidRDefault="00550473" w:rsidP="00550473">
      <w:pPr>
        <w:rPr>
          <w:rFonts w:ascii="Arial" w:hAnsi="Arial" w:cs="Arial"/>
        </w:rPr>
      </w:pPr>
      <w:r>
        <w:rPr>
          <w:rFonts w:ascii="Arial" w:hAnsi="Arial" w:cs="Arial"/>
        </w:rPr>
        <w:t>*</w:t>
      </w:r>
      <w:r w:rsidRPr="00550473">
        <w:rPr>
          <w:rFonts w:ascii="Arial" w:hAnsi="Arial" w:cs="Arial"/>
        </w:rPr>
        <w:t>12 June 2017-30 June 2018</w:t>
      </w:r>
    </w:p>
    <w:p w:rsidR="00A20AA1" w:rsidRDefault="00A20AA1" w:rsidP="00C96F1A">
      <w:pPr>
        <w:rPr>
          <w:rFonts w:ascii="Arial" w:hAnsi="Arial" w:cs="Arial"/>
        </w:rPr>
      </w:pPr>
    </w:p>
    <w:p w:rsidR="00550473" w:rsidRPr="007050FC" w:rsidRDefault="00550473" w:rsidP="00D806AE">
      <w:pPr>
        <w:pStyle w:val="ListParagraph"/>
        <w:numPr>
          <w:ilvl w:val="0"/>
          <w:numId w:val="25"/>
        </w:numPr>
        <w:rPr>
          <w:rFonts w:ascii="Arial" w:hAnsi="Arial" w:cs="Arial"/>
        </w:rPr>
      </w:pPr>
      <w:r w:rsidRPr="007050FC">
        <w:rPr>
          <w:rFonts w:ascii="Arial" w:hAnsi="Arial" w:cs="Arial"/>
        </w:rPr>
        <w:t>Delivered 591 additional social housing dwellings</w:t>
      </w:r>
    </w:p>
    <w:p w:rsidR="00550473" w:rsidRPr="007050FC" w:rsidRDefault="00550473" w:rsidP="00D806AE">
      <w:pPr>
        <w:pStyle w:val="ListParagraph"/>
        <w:numPr>
          <w:ilvl w:val="0"/>
          <w:numId w:val="25"/>
        </w:numPr>
        <w:rPr>
          <w:rFonts w:ascii="Arial" w:hAnsi="Arial" w:cs="Arial"/>
        </w:rPr>
      </w:pPr>
      <w:r w:rsidRPr="007050FC">
        <w:rPr>
          <w:rFonts w:ascii="Arial" w:hAnsi="Arial" w:cs="Arial"/>
        </w:rPr>
        <w:t>Assisted 71,856 low-income households with social rental housing including 6,965 new households</w:t>
      </w:r>
    </w:p>
    <w:p w:rsidR="00550473" w:rsidRPr="007050FC" w:rsidRDefault="00550473" w:rsidP="00D806AE">
      <w:pPr>
        <w:pStyle w:val="ListParagraph"/>
        <w:numPr>
          <w:ilvl w:val="0"/>
          <w:numId w:val="25"/>
        </w:numPr>
        <w:rPr>
          <w:rFonts w:ascii="Arial" w:hAnsi="Arial" w:cs="Arial"/>
        </w:rPr>
      </w:pPr>
      <w:r w:rsidRPr="007050FC">
        <w:rPr>
          <w:rFonts w:ascii="Arial" w:hAnsi="Arial" w:cs="Arial"/>
        </w:rPr>
        <w:t>Expended approximately $404 million to maintain</w:t>
      </w:r>
      <w:r w:rsidR="007050FC" w:rsidRPr="007050FC">
        <w:rPr>
          <w:rFonts w:ascii="Arial" w:hAnsi="Arial" w:cs="Arial"/>
        </w:rPr>
        <w:t xml:space="preserve"> </w:t>
      </w:r>
      <w:r w:rsidRPr="007050FC">
        <w:rPr>
          <w:rFonts w:ascii="Arial" w:hAnsi="Arial" w:cs="Arial"/>
        </w:rPr>
        <w:t>and refurbish the social housing property portfolio including 3,679 disability modifications.</w:t>
      </w:r>
    </w:p>
    <w:p w:rsidR="002531D1" w:rsidRPr="007050FC" w:rsidRDefault="002531D1" w:rsidP="00D806AE">
      <w:pPr>
        <w:pStyle w:val="ListParagraph"/>
        <w:numPr>
          <w:ilvl w:val="0"/>
          <w:numId w:val="25"/>
        </w:numPr>
        <w:rPr>
          <w:rFonts w:ascii="Arial" w:hAnsi="Arial" w:cs="Arial"/>
        </w:rPr>
      </w:pPr>
      <w:r w:rsidRPr="007050FC">
        <w:rPr>
          <w:rFonts w:ascii="Arial" w:hAnsi="Arial" w:cs="Arial"/>
        </w:rPr>
        <w:t>Assisted over 200,000 new low income households to access or remain in the private housing market, including:</w:t>
      </w:r>
    </w:p>
    <w:p w:rsidR="002531D1" w:rsidRPr="007050FC" w:rsidRDefault="002531D1" w:rsidP="00D806AE">
      <w:pPr>
        <w:pStyle w:val="ListParagraph"/>
        <w:numPr>
          <w:ilvl w:val="0"/>
          <w:numId w:val="26"/>
        </w:numPr>
        <w:rPr>
          <w:rFonts w:ascii="Arial" w:hAnsi="Arial" w:cs="Arial"/>
        </w:rPr>
      </w:pPr>
      <w:r w:rsidRPr="007050FC">
        <w:rPr>
          <w:rFonts w:ascii="Arial" w:hAnsi="Arial" w:cs="Arial"/>
        </w:rPr>
        <w:t>17,404 RentConnect services</w:t>
      </w:r>
    </w:p>
    <w:p w:rsidR="002531D1" w:rsidRPr="007050FC" w:rsidRDefault="002531D1" w:rsidP="00D806AE">
      <w:pPr>
        <w:pStyle w:val="ListParagraph"/>
        <w:numPr>
          <w:ilvl w:val="0"/>
          <w:numId w:val="26"/>
        </w:numPr>
        <w:rPr>
          <w:rFonts w:ascii="Arial" w:hAnsi="Arial" w:cs="Arial"/>
        </w:rPr>
      </w:pPr>
      <w:r w:rsidRPr="007050FC">
        <w:rPr>
          <w:rFonts w:ascii="Arial" w:hAnsi="Arial" w:cs="Arial"/>
        </w:rPr>
        <w:t>37,004 Home Assist Secure services</w:t>
      </w:r>
    </w:p>
    <w:p w:rsidR="002531D1" w:rsidRPr="007050FC" w:rsidRDefault="002531D1" w:rsidP="00D806AE">
      <w:pPr>
        <w:pStyle w:val="ListParagraph"/>
        <w:numPr>
          <w:ilvl w:val="0"/>
          <w:numId w:val="26"/>
        </w:numPr>
        <w:rPr>
          <w:rFonts w:ascii="Arial" w:hAnsi="Arial" w:cs="Arial"/>
        </w:rPr>
      </w:pPr>
      <w:r w:rsidRPr="007050FC">
        <w:rPr>
          <w:rFonts w:ascii="Arial" w:hAnsi="Arial" w:cs="Arial"/>
        </w:rPr>
        <w:t>20,454 new bond loans</w:t>
      </w:r>
    </w:p>
    <w:p w:rsidR="002531D1" w:rsidRPr="007050FC" w:rsidRDefault="002531D1" w:rsidP="00D806AE">
      <w:pPr>
        <w:pStyle w:val="ListParagraph"/>
        <w:numPr>
          <w:ilvl w:val="0"/>
          <w:numId w:val="26"/>
        </w:numPr>
        <w:rPr>
          <w:rFonts w:ascii="Arial" w:hAnsi="Arial" w:cs="Arial"/>
        </w:rPr>
      </w:pPr>
      <w:r w:rsidRPr="007050FC">
        <w:rPr>
          <w:rFonts w:ascii="Arial" w:hAnsi="Arial" w:cs="Arial"/>
        </w:rPr>
        <w:t>121,079 Queensland Statewide Tenants’ Advice and Referral Service (QSTARS) responses</w:t>
      </w:r>
    </w:p>
    <w:p w:rsidR="002531D1" w:rsidRPr="007050FC" w:rsidRDefault="002531D1" w:rsidP="00D806AE">
      <w:pPr>
        <w:pStyle w:val="ListParagraph"/>
        <w:numPr>
          <w:ilvl w:val="0"/>
          <w:numId w:val="26"/>
        </w:numPr>
        <w:rPr>
          <w:rFonts w:ascii="Arial" w:hAnsi="Arial" w:cs="Arial"/>
        </w:rPr>
      </w:pPr>
      <w:r w:rsidRPr="007050FC">
        <w:rPr>
          <w:rFonts w:ascii="Arial" w:hAnsi="Arial" w:cs="Arial"/>
        </w:rPr>
        <w:t>2,640</w:t>
      </w:r>
      <w:r w:rsidR="007050FC" w:rsidRPr="007050FC">
        <w:rPr>
          <w:rFonts w:ascii="Arial" w:hAnsi="Arial" w:cs="Arial"/>
        </w:rPr>
        <w:t xml:space="preserve"> National Rental Affordability Scheme (NRAS) households.</w:t>
      </w:r>
    </w:p>
    <w:p w:rsidR="0028598A" w:rsidRDefault="0028598A" w:rsidP="00C96F1A">
      <w:pPr>
        <w:rPr>
          <w:rFonts w:ascii="Arial" w:hAnsi="Arial" w:cs="Arial"/>
        </w:rPr>
      </w:pPr>
    </w:p>
    <w:p w:rsidR="00FC4865" w:rsidRPr="00C96F1A" w:rsidRDefault="00FC4865" w:rsidP="00D806AE">
      <w:pPr>
        <w:pStyle w:val="Heading3"/>
      </w:pPr>
      <w:r>
        <w:t>Our Achievements</w:t>
      </w:r>
    </w:p>
    <w:p w:rsidR="0028598A" w:rsidRPr="00C96F1A" w:rsidRDefault="00B625AF" w:rsidP="00FC4865">
      <w:pPr>
        <w:pStyle w:val="Heading6"/>
      </w:pPr>
      <w:r w:rsidRPr="00C96F1A">
        <w:t>Safe, secure, affordable and accessible homes</w:t>
      </w:r>
    </w:p>
    <w:p w:rsidR="00EF541B" w:rsidRPr="00EF541B" w:rsidRDefault="00EF541B" w:rsidP="00EF541B">
      <w:pPr>
        <w:rPr>
          <w:rFonts w:ascii="Arial" w:hAnsi="Arial" w:cs="Arial"/>
        </w:rPr>
      </w:pPr>
      <w:r w:rsidRPr="00EF541B">
        <w:rPr>
          <w:rFonts w:ascii="Arial" w:hAnsi="Arial" w:cs="Arial"/>
        </w:rPr>
        <w:t xml:space="preserve">In 2017–18 we made significant progress on delivering actions across the four pillars of the </w:t>
      </w:r>
      <w:r w:rsidRPr="00EF541B">
        <w:rPr>
          <w:rFonts w:ascii="Arial" w:hAnsi="Arial" w:cs="Arial"/>
          <w:i/>
        </w:rPr>
        <w:t>Queensland Housing Strategy 2017–2027</w:t>
      </w:r>
      <w:r w:rsidRPr="00EF541B">
        <w:rPr>
          <w:rFonts w:ascii="Arial" w:hAnsi="Arial" w:cs="Arial"/>
        </w:rPr>
        <w:t xml:space="preserve">. </w:t>
      </w:r>
    </w:p>
    <w:p w:rsidR="00EF541B" w:rsidRPr="00EF541B" w:rsidRDefault="00EF541B" w:rsidP="00EF541B">
      <w:pPr>
        <w:rPr>
          <w:rFonts w:ascii="Arial" w:hAnsi="Arial" w:cs="Arial"/>
        </w:rPr>
      </w:pPr>
      <w:r w:rsidRPr="00EF541B">
        <w:rPr>
          <w:rFonts w:ascii="Arial" w:hAnsi="Arial" w:cs="Arial"/>
        </w:rPr>
        <w:t xml:space="preserve">The strategy redefines how the Queensland Government will deliver housing, urban renewal, new jobs and affordable housing and drive innovative housing design that responds to contemporary needs. </w:t>
      </w:r>
    </w:p>
    <w:p w:rsidR="00EF541B" w:rsidRPr="00EF541B" w:rsidRDefault="00EF541B" w:rsidP="00EF541B">
      <w:pPr>
        <w:rPr>
          <w:rFonts w:ascii="Arial" w:hAnsi="Arial" w:cs="Arial"/>
        </w:rPr>
      </w:pPr>
      <w:r w:rsidRPr="00EF541B">
        <w:rPr>
          <w:rFonts w:ascii="Arial" w:hAnsi="Arial" w:cs="Arial"/>
        </w:rPr>
        <w:t xml:space="preserve">To help guide our future delivery, we established the Housing and Homelessness Research Alliance. The Alliance provides expert guidance to support better evidence-based decision-making in housing and homelessness policy. </w:t>
      </w:r>
    </w:p>
    <w:p w:rsidR="00B31DB7" w:rsidRDefault="00EF541B" w:rsidP="00EF541B">
      <w:pPr>
        <w:rPr>
          <w:rFonts w:cs="MetaNormalLF-Roman"/>
          <w:color w:val="403F41"/>
          <w:sz w:val="18"/>
          <w:szCs w:val="18"/>
        </w:rPr>
      </w:pPr>
      <w:r w:rsidRPr="00EF541B">
        <w:rPr>
          <w:rFonts w:ascii="Arial" w:hAnsi="Arial" w:cs="Arial"/>
        </w:rPr>
        <w:t xml:space="preserve">We also created housing pathways for people with a disability through the </w:t>
      </w:r>
      <w:r w:rsidRPr="00EF541B">
        <w:rPr>
          <w:rFonts w:ascii="Arial" w:hAnsi="Arial" w:cs="Arial"/>
          <w:i/>
        </w:rPr>
        <w:t>Queensland Housing Strategy 2017—2027</w:t>
      </w:r>
      <w:r w:rsidRPr="00EF541B">
        <w:rPr>
          <w:rFonts w:ascii="Arial" w:hAnsi="Arial" w:cs="Arial"/>
        </w:rPr>
        <w:t>, to ensure we embed the housing needs and aspirations of people with a disability in Housing Strategy actions.</w:t>
      </w:r>
      <w:r>
        <w:rPr>
          <w:rFonts w:cs="MetaNormalLF-Roman"/>
          <w:color w:val="403F41"/>
          <w:sz w:val="18"/>
          <w:szCs w:val="18"/>
        </w:rPr>
        <w:t xml:space="preserve"> </w:t>
      </w:r>
    </w:p>
    <w:p w:rsidR="0028598A" w:rsidRPr="00C96F1A" w:rsidRDefault="00B625AF" w:rsidP="00B31DB7">
      <w:pPr>
        <w:pStyle w:val="Heading6"/>
      </w:pPr>
      <w:r w:rsidRPr="00C96F1A">
        <w:t>Improving housing assistance</w:t>
      </w:r>
    </w:p>
    <w:p w:rsidR="0028598A" w:rsidRPr="00C96F1A" w:rsidRDefault="00B625AF" w:rsidP="00C96F1A">
      <w:pPr>
        <w:rPr>
          <w:rFonts w:ascii="Arial" w:hAnsi="Arial" w:cs="Arial"/>
        </w:rPr>
      </w:pPr>
      <w:r w:rsidRPr="00C96F1A">
        <w:rPr>
          <w:rFonts w:ascii="Arial" w:hAnsi="Arial" w:cs="Arial"/>
        </w:rPr>
        <w:t>The department has continued to improve access to safe, secure, affordable and accessible homes through a mix of housing and private market assistance and capital investment.</w:t>
      </w:r>
    </w:p>
    <w:p w:rsidR="0028598A" w:rsidRPr="00C96F1A" w:rsidRDefault="00B625AF" w:rsidP="00C96F1A">
      <w:pPr>
        <w:rPr>
          <w:rFonts w:ascii="Arial" w:hAnsi="Arial" w:cs="Arial"/>
        </w:rPr>
      </w:pPr>
      <w:r w:rsidRPr="00C96F1A">
        <w:rPr>
          <w:rFonts w:ascii="Arial" w:hAnsi="Arial" w:cs="Arial"/>
        </w:rPr>
        <w:t>In 2017–18, we:</w:t>
      </w:r>
    </w:p>
    <w:p w:rsidR="00B31DB7" w:rsidRPr="00B31DB7" w:rsidRDefault="00B31DB7" w:rsidP="00D806AE">
      <w:pPr>
        <w:pStyle w:val="ListParagraph"/>
        <w:numPr>
          <w:ilvl w:val="0"/>
          <w:numId w:val="103"/>
        </w:numPr>
      </w:pPr>
      <w:r w:rsidRPr="00B31DB7">
        <w:t xml:space="preserve">assisted 71,856 low-income households with social rental housing, including 6,965 new households </w:t>
      </w:r>
    </w:p>
    <w:p w:rsidR="00B31DB7" w:rsidRPr="00B31DB7" w:rsidRDefault="00B31DB7" w:rsidP="00D806AE">
      <w:pPr>
        <w:pStyle w:val="ListParagraph"/>
        <w:numPr>
          <w:ilvl w:val="0"/>
          <w:numId w:val="103"/>
        </w:numPr>
      </w:pPr>
      <w:r w:rsidRPr="00B31DB7">
        <w:t xml:space="preserve">contributed to the delivery of new homes in priority precincts, including seniors developments through Better Neighbourhoods Logan and partnerships with local builders and community housing providers </w:t>
      </w:r>
    </w:p>
    <w:p w:rsidR="00B31DB7" w:rsidRPr="00B31DB7" w:rsidRDefault="00B31DB7" w:rsidP="00D806AE">
      <w:pPr>
        <w:pStyle w:val="ListParagraph"/>
        <w:numPr>
          <w:ilvl w:val="0"/>
          <w:numId w:val="103"/>
        </w:numPr>
      </w:pPr>
      <w:r w:rsidRPr="00B31DB7">
        <w:t xml:space="preserve">exceeded new construction commencement targets for the Housing Construction Jobs Program </w:t>
      </w:r>
    </w:p>
    <w:p w:rsidR="00B31DB7" w:rsidRPr="00B31DB7" w:rsidRDefault="00B31DB7" w:rsidP="00D806AE">
      <w:pPr>
        <w:pStyle w:val="ListParagraph"/>
        <w:numPr>
          <w:ilvl w:val="0"/>
          <w:numId w:val="103"/>
        </w:numPr>
      </w:pPr>
      <w:r w:rsidRPr="00B31DB7">
        <w:t xml:space="preserve">completed smoke alarm upgrades to 4,141 social housing dwellings </w:t>
      </w:r>
    </w:p>
    <w:p w:rsidR="00B31DB7" w:rsidRPr="00B31DB7" w:rsidRDefault="00B31DB7" w:rsidP="00D806AE">
      <w:pPr>
        <w:pStyle w:val="ListParagraph"/>
        <w:numPr>
          <w:ilvl w:val="0"/>
          <w:numId w:val="103"/>
        </w:numPr>
      </w:pPr>
      <w:r w:rsidRPr="00B31DB7">
        <w:t xml:space="preserve">completed an evaluation of the Mayes Place Tenant Hub in May 2018 which showed that tenant engagement and precinct management had improved safety and security in the precinct </w:t>
      </w:r>
    </w:p>
    <w:p w:rsidR="00B31DB7" w:rsidRPr="00B31DB7" w:rsidRDefault="00B31DB7" w:rsidP="00D806AE">
      <w:pPr>
        <w:pStyle w:val="ListParagraph"/>
        <w:numPr>
          <w:ilvl w:val="0"/>
          <w:numId w:val="103"/>
        </w:numPr>
      </w:pPr>
      <w:r w:rsidRPr="00B31DB7">
        <w:lastRenderedPageBreak/>
        <w:t xml:space="preserve">delivered homes for 89 households in the precinct that were accessible, safer, more secure and affordable </w:t>
      </w:r>
    </w:p>
    <w:p w:rsidR="00B31DB7" w:rsidRPr="00B31DB7" w:rsidRDefault="00B31DB7" w:rsidP="00D806AE">
      <w:pPr>
        <w:pStyle w:val="ListParagraph"/>
        <w:numPr>
          <w:ilvl w:val="0"/>
          <w:numId w:val="103"/>
        </w:numPr>
      </w:pPr>
      <w:r w:rsidRPr="00B31DB7">
        <w:t xml:space="preserve">delivered refurbishments to the social housing portfolio, including 3,679 disability modifications </w:t>
      </w:r>
    </w:p>
    <w:p w:rsidR="00B31DB7" w:rsidRPr="00B31DB7" w:rsidRDefault="00B31DB7" w:rsidP="00D806AE">
      <w:pPr>
        <w:pStyle w:val="ListParagraph"/>
        <w:numPr>
          <w:ilvl w:val="0"/>
          <w:numId w:val="103"/>
        </w:numPr>
      </w:pPr>
      <w:r w:rsidRPr="00B31DB7">
        <w:t xml:space="preserve">assisted over 200,000 low income households to access or remain in the private housing market through initiatives such as RentConnect, Home Assist Secure, Bond Loans, the National Rental Affordability Scheme and the Queensland Statewide Tenants’ Advice and Referral Service (QSTARS) </w:t>
      </w:r>
    </w:p>
    <w:p w:rsidR="00B31DB7" w:rsidRPr="00B31DB7" w:rsidRDefault="00B31DB7" w:rsidP="00D806AE">
      <w:pPr>
        <w:pStyle w:val="ListParagraph"/>
        <w:numPr>
          <w:ilvl w:val="0"/>
          <w:numId w:val="103"/>
        </w:numPr>
      </w:pPr>
      <w:r w:rsidRPr="00B31DB7">
        <w:t xml:space="preserve">secured a five-year extension of funding for the provision of essential services by the non-government sector to renters, homeowners, people in retirement villages and caravan parks including Home Assist Secure and QSTARS </w:t>
      </w:r>
    </w:p>
    <w:p w:rsidR="00B31DB7" w:rsidRPr="00B31DB7" w:rsidRDefault="00B31DB7" w:rsidP="00D806AE">
      <w:pPr>
        <w:pStyle w:val="ListParagraph"/>
        <w:numPr>
          <w:ilvl w:val="0"/>
          <w:numId w:val="103"/>
        </w:numPr>
      </w:pPr>
      <w:r w:rsidRPr="00B31DB7">
        <w:t xml:space="preserve">implemented digital and mobile services to help clients access our services, including an enhanced Housing Assist QLD app, EFTPOS facilities in 20 Housing Service Centres and mobile offices in 19 Housing Service Centres </w:t>
      </w:r>
    </w:p>
    <w:p w:rsidR="00B31DB7" w:rsidRPr="00B31DB7" w:rsidRDefault="00B31DB7" w:rsidP="00D806AE">
      <w:pPr>
        <w:pStyle w:val="ListParagraph"/>
        <w:numPr>
          <w:ilvl w:val="0"/>
          <w:numId w:val="103"/>
        </w:numPr>
      </w:pPr>
      <w:r w:rsidRPr="00B31DB7">
        <w:t xml:space="preserve">commenced phase one of the Future of Property and Tenancy Systems Program core property and tenancy system to provide a stable and supported platform for the delivery of housing and homelessness services. </w:t>
      </w:r>
    </w:p>
    <w:p w:rsidR="0028598A" w:rsidRPr="00C96F1A" w:rsidRDefault="00B625AF" w:rsidP="002531D1">
      <w:pPr>
        <w:pStyle w:val="Heading6"/>
      </w:pPr>
      <w:r w:rsidRPr="00C96F1A">
        <w:t>Delivering tenant engagement and support</w:t>
      </w:r>
    </w:p>
    <w:p w:rsidR="00E909E2" w:rsidRPr="00204307" w:rsidRDefault="00E909E2" w:rsidP="00E909E2">
      <w:r w:rsidRPr="00204307">
        <w:t xml:space="preserve">Our work continued to focus on ensuring those most in need are supported by a safety net of targeted early interventions and genuine wraparound services. </w:t>
      </w:r>
    </w:p>
    <w:p w:rsidR="00E909E2" w:rsidRPr="00E909E2" w:rsidRDefault="00E909E2" w:rsidP="00E909E2">
      <w:r w:rsidRPr="00204307">
        <w:t xml:space="preserve">The creation of greater integration across housing and homelessness systems and the provision of pathways into social and economic independence are a key focus of the </w:t>
      </w:r>
      <w:r w:rsidRPr="00204307">
        <w:rPr>
          <w:i/>
        </w:rPr>
        <w:t>Housing Strategy 2017–2027.</w:t>
      </w:r>
      <w:r w:rsidRPr="00E909E2">
        <w:t xml:space="preserve"> </w:t>
      </w:r>
    </w:p>
    <w:p w:rsidR="0028598A" w:rsidRPr="00C96F1A" w:rsidRDefault="00B625AF" w:rsidP="00E909E2">
      <w:pPr>
        <w:rPr>
          <w:rFonts w:ascii="Arial" w:hAnsi="Arial" w:cs="Arial"/>
        </w:rPr>
      </w:pPr>
      <w:r w:rsidRPr="00C96F1A">
        <w:rPr>
          <w:rFonts w:ascii="Arial" w:hAnsi="Arial" w:cs="Arial"/>
        </w:rPr>
        <w:t>In 2017–18, we:</w:t>
      </w:r>
    </w:p>
    <w:p w:rsidR="00204307" w:rsidRPr="00204307" w:rsidRDefault="00204307" w:rsidP="00D806AE">
      <w:pPr>
        <w:pStyle w:val="ListParagraph"/>
        <w:numPr>
          <w:ilvl w:val="0"/>
          <w:numId w:val="103"/>
        </w:numPr>
      </w:pPr>
      <w:r w:rsidRPr="00204307">
        <w:t xml:space="preserve">implemented and evaluated a mental health demonstration project to support tenants to sustain their social housing tenancies and inform future integrated service delivery </w:t>
      </w:r>
    </w:p>
    <w:p w:rsidR="00204307" w:rsidRPr="00204307" w:rsidRDefault="00204307" w:rsidP="00D806AE">
      <w:pPr>
        <w:pStyle w:val="ListParagraph"/>
        <w:numPr>
          <w:ilvl w:val="0"/>
          <w:numId w:val="103"/>
        </w:numPr>
      </w:pPr>
      <w:r w:rsidRPr="00204307">
        <w:t xml:space="preserve">established mobile support services in Cairns, Caboolture, Toowoomba and the Gold and Sunshine Coasts, to support young people who are homeless or at risk of homelessness to find or maintain secure accommodation </w:t>
      </w:r>
    </w:p>
    <w:p w:rsidR="00204307" w:rsidRPr="00204307" w:rsidRDefault="00204307" w:rsidP="00D806AE">
      <w:pPr>
        <w:pStyle w:val="ListParagraph"/>
        <w:numPr>
          <w:ilvl w:val="0"/>
          <w:numId w:val="103"/>
        </w:numPr>
      </w:pPr>
      <w:r w:rsidRPr="00204307">
        <w:t xml:space="preserve">worked with young people from the Logan Youth Foyer to inform the expansion of the existing Logan facility and the new facilities in Townsville and Gold Coast – projects aimed at helping young people between the ages of 16 and 25 to live confidently and independently </w:t>
      </w:r>
    </w:p>
    <w:p w:rsidR="00204307" w:rsidRPr="00204307" w:rsidRDefault="00204307" w:rsidP="00D806AE">
      <w:pPr>
        <w:pStyle w:val="ListParagraph"/>
        <w:numPr>
          <w:ilvl w:val="0"/>
          <w:numId w:val="103"/>
        </w:numPr>
      </w:pPr>
      <w:r w:rsidRPr="00204307">
        <w:t xml:space="preserve">extended the Sustaining Young People’s Tenancies pilot project with the Brisbane Youth Service Inc. until 30 June 2019 </w:t>
      </w:r>
    </w:p>
    <w:p w:rsidR="00204307" w:rsidRPr="00204307" w:rsidRDefault="00204307" w:rsidP="00D806AE">
      <w:pPr>
        <w:pStyle w:val="ListParagraph"/>
        <w:numPr>
          <w:ilvl w:val="0"/>
          <w:numId w:val="103"/>
        </w:numPr>
      </w:pPr>
      <w:r w:rsidRPr="00204307">
        <w:t xml:space="preserve">implemented the Youth to Work Rent Policy which incentivises people aged 24 years and under living in public housing to engage in employment and training by not assessing their working income in rent calculations </w:t>
      </w:r>
    </w:p>
    <w:p w:rsidR="00204307" w:rsidRPr="00204307" w:rsidRDefault="00204307" w:rsidP="00D806AE">
      <w:pPr>
        <w:pStyle w:val="ListParagraph"/>
        <w:numPr>
          <w:ilvl w:val="0"/>
          <w:numId w:val="103"/>
        </w:numPr>
      </w:pPr>
      <w:r w:rsidRPr="00204307">
        <w:t xml:space="preserve">extended funding for the Housing and Employment Program to assist people in unstable housing enter and complete formal training to maximise their employment opportunities and income </w:t>
      </w:r>
    </w:p>
    <w:p w:rsidR="00204307" w:rsidRPr="00204307" w:rsidRDefault="00204307" w:rsidP="00D806AE">
      <w:pPr>
        <w:pStyle w:val="ListParagraph"/>
        <w:numPr>
          <w:ilvl w:val="0"/>
          <w:numId w:val="103"/>
        </w:numPr>
      </w:pPr>
      <w:r w:rsidRPr="00204307">
        <w:t xml:space="preserve">supported tenant participation in programs to improve health and well-being, strengthen community connections, and promote job-readiness via the Mayes Place Tenant Hub, in collaboration with agency and community partners </w:t>
      </w:r>
    </w:p>
    <w:p w:rsidR="00204307" w:rsidRPr="00204307" w:rsidRDefault="00204307" w:rsidP="00D806AE">
      <w:pPr>
        <w:pStyle w:val="ListParagraph"/>
        <w:numPr>
          <w:ilvl w:val="0"/>
          <w:numId w:val="103"/>
        </w:numPr>
      </w:pPr>
      <w:r w:rsidRPr="00204307">
        <w:t xml:space="preserve">implemented and tested home pathway plans within the Next Step Home: Women On Parole project, as part of a human-centred approach to service delivery. </w:t>
      </w:r>
    </w:p>
    <w:p w:rsidR="0028598A" w:rsidRPr="00C96F1A" w:rsidRDefault="00B625AF" w:rsidP="002531D1">
      <w:pPr>
        <w:pStyle w:val="Heading6"/>
      </w:pPr>
      <w:r w:rsidRPr="00C96F1A">
        <w:lastRenderedPageBreak/>
        <w:t>Reducing homelessness</w:t>
      </w:r>
    </w:p>
    <w:p w:rsidR="0028598A" w:rsidRPr="00C96F1A" w:rsidRDefault="00B625AF" w:rsidP="00C96F1A">
      <w:pPr>
        <w:rPr>
          <w:rFonts w:ascii="Arial" w:hAnsi="Arial" w:cs="Arial"/>
        </w:rPr>
      </w:pPr>
      <w:r w:rsidRPr="00C96F1A">
        <w:rPr>
          <w:rFonts w:ascii="Arial" w:hAnsi="Arial" w:cs="Arial"/>
        </w:rPr>
        <w:t>We are continuing to build a fair and responsive housing and homelessness assistance system that provides a continuum of services for those who need them the most.</w:t>
      </w:r>
    </w:p>
    <w:p w:rsidR="0028598A" w:rsidRPr="00C96F1A" w:rsidRDefault="00B625AF" w:rsidP="00C96F1A">
      <w:pPr>
        <w:rPr>
          <w:rFonts w:ascii="Arial" w:hAnsi="Arial" w:cs="Arial"/>
        </w:rPr>
      </w:pPr>
      <w:r w:rsidRPr="00C96F1A">
        <w:rPr>
          <w:rFonts w:ascii="Arial" w:hAnsi="Arial" w:cs="Arial"/>
        </w:rPr>
        <w:t>In 2017–18, we:</w:t>
      </w:r>
    </w:p>
    <w:p w:rsidR="00204307" w:rsidRPr="00204307" w:rsidRDefault="00204307" w:rsidP="00D806AE">
      <w:pPr>
        <w:pStyle w:val="ListParagraph"/>
        <w:numPr>
          <w:ilvl w:val="0"/>
          <w:numId w:val="103"/>
        </w:numPr>
      </w:pPr>
      <w:r w:rsidRPr="00204307">
        <w:t xml:space="preserve">secured five-year service agreements to continue Specialist Homelessness Services, providing stability that enables the delivery of vital support services, and continued innovation and transformation in our homelessness response </w:t>
      </w:r>
    </w:p>
    <w:p w:rsidR="00204307" w:rsidRPr="00204307" w:rsidRDefault="00204307" w:rsidP="00D806AE">
      <w:pPr>
        <w:pStyle w:val="ListParagraph"/>
        <w:numPr>
          <w:ilvl w:val="0"/>
          <w:numId w:val="103"/>
        </w:numPr>
      </w:pPr>
      <w:r w:rsidRPr="00204307">
        <w:t xml:space="preserve">delivered the second round of the Dignity First Fund and launched a third round. To date, the Fund has delivered over 50 innovative projects that assist Queenslanders experiencing homelessness </w:t>
      </w:r>
    </w:p>
    <w:p w:rsidR="00204307" w:rsidRPr="00204307" w:rsidRDefault="00204307" w:rsidP="00D806AE">
      <w:pPr>
        <w:pStyle w:val="ListParagraph"/>
        <w:numPr>
          <w:ilvl w:val="0"/>
          <w:numId w:val="103"/>
        </w:numPr>
      </w:pPr>
      <w:r w:rsidRPr="00204307">
        <w:t xml:space="preserve">opened a family and domestic violence shelter in March 2018 in Far North Queensland </w:t>
      </w:r>
    </w:p>
    <w:p w:rsidR="00204307" w:rsidRPr="00204307" w:rsidRDefault="00204307" w:rsidP="00D806AE">
      <w:pPr>
        <w:pStyle w:val="ListParagraph"/>
        <w:numPr>
          <w:ilvl w:val="0"/>
          <w:numId w:val="103"/>
        </w:numPr>
      </w:pPr>
      <w:r w:rsidRPr="00204307">
        <w:t xml:space="preserve">established positions in Logan/Beenleigh, Cherbourg, Mount Isa, Brisbane, Cairns and Ipswich to improve integrated responses to high risk victims and their children experiencing domestic and family violence </w:t>
      </w:r>
    </w:p>
    <w:p w:rsidR="00204307" w:rsidRPr="00204307" w:rsidRDefault="00204307" w:rsidP="00D806AE">
      <w:pPr>
        <w:pStyle w:val="ListParagraph"/>
        <w:numPr>
          <w:ilvl w:val="0"/>
          <w:numId w:val="103"/>
        </w:numPr>
      </w:pPr>
      <w:r w:rsidRPr="00204307">
        <w:t xml:space="preserve">secured a three-year contract with Queensland Youth Housing Coalition to support a strategic alliance with the department. </w:t>
      </w:r>
    </w:p>
    <w:p w:rsidR="0028598A" w:rsidRPr="00C96F1A" w:rsidRDefault="00B625AF" w:rsidP="00E84600">
      <w:pPr>
        <w:pStyle w:val="Heading6"/>
      </w:pPr>
      <w:r w:rsidRPr="00C96F1A">
        <w:t>Improving outcomes in Aboriginal and Torres Strait Islander communities</w:t>
      </w:r>
    </w:p>
    <w:p w:rsidR="0028598A" w:rsidRPr="00C96F1A" w:rsidRDefault="00B625AF" w:rsidP="00C96F1A">
      <w:pPr>
        <w:rPr>
          <w:rFonts w:ascii="Arial" w:hAnsi="Arial" w:cs="Arial"/>
        </w:rPr>
      </w:pPr>
      <w:r w:rsidRPr="00C96F1A">
        <w:rPr>
          <w:rFonts w:ascii="Arial" w:hAnsi="Arial" w:cs="Arial"/>
        </w:rPr>
        <w:t xml:space="preserve">The department has continued to deliver improved housing outcomes for Aboriginal </w:t>
      </w:r>
      <w:r w:rsidR="00204307">
        <w:rPr>
          <w:rFonts w:ascii="Arial" w:hAnsi="Arial" w:cs="Arial"/>
        </w:rPr>
        <w:t>p</w:t>
      </w:r>
      <w:r w:rsidR="00C37BF4">
        <w:rPr>
          <w:rFonts w:ascii="Arial" w:hAnsi="Arial" w:cs="Arial"/>
        </w:rPr>
        <w:t xml:space="preserve">eoples </w:t>
      </w:r>
      <w:r w:rsidRPr="00C96F1A">
        <w:rPr>
          <w:rFonts w:ascii="Arial" w:hAnsi="Arial" w:cs="Arial"/>
        </w:rPr>
        <w:t>and Torres Strait Islander peoples through culturally appropriate solutions that are inclusive of community needs.</w:t>
      </w:r>
    </w:p>
    <w:p w:rsidR="0028598A" w:rsidRPr="00C96F1A" w:rsidRDefault="00B625AF" w:rsidP="00C96F1A">
      <w:pPr>
        <w:rPr>
          <w:rFonts w:ascii="Arial" w:hAnsi="Arial" w:cs="Arial"/>
        </w:rPr>
      </w:pPr>
      <w:r w:rsidRPr="00D806AE">
        <w:rPr>
          <w:rFonts w:ascii="Arial" w:hAnsi="Arial" w:cs="Arial"/>
        </w:rPr>
        <w:t>During 2017–18, we:</w:t>
      </w:r>
    </w:p>
    <w:p w:rsidR="00D806AE" w:rsidRPr="00D806AE" w:rsidRDefault="00D806AE" w:rsidP="00D806AE">
      <w:pPr>
        <w:pStyle w:val="ListParagraph"/>
        <w:numPr>
          <w:ilvl w:val="0"/>
          <w:numId w:val="103"/>
        </w:numPr>
      </w:pPr>
      <w:r w:rsidRPr="00D806AE">
        <w:t xml:space="preserve">established a team to lead the whole-of-government Remote Home Ownership program, drive home ownership outcomes in remote and discrete Indigenous communities and support the resolution of Land Holding Act and Blockholder entitlements </w:t>
      </w:r>
    </w:p>
    <w:p w:rsidR="00D806AE" w:rsidRPr="00D806AE" w:rsidRDefault="00D806AE" w:rsidP="00D806AE">
      <w:pPr>
        <w:pStyle w:val="ListParagraph"/>
        <w:numPr>
          <w:ilvl w:val="0"/>
          <w:numId w:val="103"/>
        </w:numPr>
      </w:pPr>
      <w:r w:rsidRPr="00D806AE">
        <w:t xml:space="preserve">delivered 10 home ownership outcomes, 18 dwelling upgrades, commenced works on 29 dwellings, and completed 49 condition assessments </w:t>
      </w:r>
    </w:p>
    <w:p w:rsidR="00D806AE" w:rsidRPr="00D806AE" w:rsidRDefault="00D806AE" w:rsidP="00D806AE">
      <w:pPr>
        <w:pStyle w:val="ListParagraph"/>
        <w:numPr>
          <w:ilvl w:val="0"/>
          <w:numId w:val="103"/>
        </w:numPr>
      </w:pPr>
      <w:r w:rsidRPr="00D806AE">
        <w:t xml:space="preserve">supported the Solar on Public Housing trials in Lockhart River to reduce energy costs for tenants </w:t>
      </w:r>
    </w:p>
    <w:p w:rsidR="00D806AE" w:rsidRPr="00D806AE" w:rsidRDefault="00D806AE" w:rsidP="00D806AE">
      <w:pPr>
        <w:pStyle w:val="ListParagraph"/>
        <w:numPr>
          <w:ilvl w:val="0"/>
          <w:numId w:val="103"/>
        </w:numPr>
      </w:pPr>
      <w:r w:rsidRPr="00D806AE">
        <w:t xml:space="preserve">continued to support Indigenous community housing organisations through funding provided by the Queensland and Federal Governments, resulting in the: </w:t>
      </w:r>
    </w:p>
    <w:p w:rsidR="00D82583" w:rsidRPr="00D82583" w:rsidRDefault="00D82583" w:rsidP="00D806AE">
      <w:pPr>
        <w:pStyle w:val="ListParagraph"/>
        <w:numPr>
          <w:ilvl w:val="0"/>
          <w:numId w:val="106"/>
        </w:numPr>
        <w:rPr>
          <w:rFonts w:ascii="Arial" w:hAnsi="Arial" w:cs="Arial"/>
        </w:rPr>
      </w:pPr>
      <w:r w:rsidRPr="00D82583">
        <w:rPr>
          <w:rFonts w:ascii="Arial" w:hAnsi="Arial" w:cs="Arial"/>
        </w:rPr>
        <w:t xml:space="preserve">commencement of nine dwellings and completion of five dwellings </w:t>
      </w:r>
    </w:p>
    <w:p w:rsidR="00D82583" w:rsidRPr="00D82583" w:rsidRDefault="00D82583" w:rsidP="00D806AE">
      <w:pPr>
        <w:pStyle w:val="ListParagraph"/>
        <w:numPr>
          <w:ilvl w:val="0"/>
          <w:numId w:val="106"/>
        </w:numPr>
        <w:rPr>
          <w:rFonts w:ascii="Arial" w:hAnsi="Arial" w:cs="Arial"/>
        </w:rPr>
      </w:pPr>
      <w:r w:rsidRPr="00D82583">
        <w:rPr>
          <w:rFonts w:ascii="Arial" w:hAnsi="Arial" w:cs="Arial"/>
        </w:rPr>
        <w:t xml:space="preserve">commencement of 20 refurbishments and completion of 15 refurbishments </w:t>
      </w:r>
    </w:p>
    <w:p w:rsidR="00D82583" w:rsidRPr="00D82583" w:rsidRDefault="00D82583" w:rsidP="00D806AE">
      <w:pPr>
        <w:pStyle w:val="ListParagraph"/>
        <w:numPr>
          <w:ilvl w:val="0"/>
          <w:numId w:val="106"/>
        </w:numPr>
        <w:rPr>
          <w:rFonts w:ascii="Arial" w:hAnsi="Arial" w:cs="Arial"/>
        </w:rPr>
      </w:pPr>
      <w:r w:rsidRPr="00D82583">
        <w:rPr>
          <w:rFonts w:ascii="Arial" w:hAnsi="Arial" w:cs="Arial"/>
        </w:rPr>
        <w:t xml:space="preserve">purchase of two properties </w:t>
      </w:r>
    </w:p>
    <w:p w:rsidR="00D806AE" w:rsidRPr="00D806AE" w:rsidRDefault="00D806AE" w:rsidP="00D806AE">
      <w:pPr>
        <w:pStyle w:val="ListParagraph"/>
        <w:numPr>
          <w:ilvl w:val="0"/>
          <w:numId w:val="103"/>
        </w:numPr>
      </w:pPr>
      <w:r w:rsidRPr="00D806AE">
        <w:t xml:space="preserve">supported the second intake of 25 students at the 50-bed NRL Cowboys House Boys Campus in Townsville in January 2018 for young men from remote areas to improve their education and employment opportunities </w:t>
      </w:r>
    </w:p>
    <w:p w:rsidR="00D806AE" w:rsidRPr="00D806AE" w:rsidRDefault="00D806AE" w:rsidP="00D806AE">
      <w:pPr>
        <w:pStyle w:val="ListParagraph"/>
        <w:numPr>
          <w:ilvl w:val="0"/>
          <w:numId w:val="103"/>
        </w:numPr>
      </w:pPr>
      <w:r w:rsidRPr="00D806AE">
        <w:t xml:space="preserve">commenced construction on the NRL Cowboys House Girls Campus in Townsville, with the first intake of 25 students planned for January 2019. </w:t>
      </w:r>
    </w:p>
    <w:p w:rsidR="0028598A" w:rsidRPr="00C96F1A" w:rsidRDefault="00B625AF" w:rsidP="00B42E1C">
      <w:pPr>
        <w:pStyle w:val="Heading6"/>
      </w:pPr>
      <w:r w:rsidRPr="00C96F1A">
        <w:t>Delivering regulatory services and reform</w:t>
      </w:r>
    </w:p>
    <w:p w:rsidR="00D806AE" w:rsidRPr="00D806AE" w:rsidRDefault="00D806AE" w:rsidP="00D806AE">
      <w:r w:rsidRPr="00D806AE">
        <w:t xml:space="preserve">We have continued our engagement work with residential living industries to encourage innovation and growth and inform policy. </w:t>
      </w:r>
    </w:p>
    <w:p w:rsidR="00D806AE" w:rsidRDefault="00D806AE" w:rsidP="00D806AE">
      <w:pPr>
        <w:rPr>
          <w:lang w:val="en-AU"/>
        </w:rPr>
      </w:pPr>
      <w:r w:rsidRPr="00D806AE">
        <w:t>Our commitment to creating a stronger and fairer legislative platform was advanced by our regulatory services achievements.</w:t>
      </w:r>
      <w:r w:rsidRPr="00D806AE">
        <w:rPr>
          <w:lang w:val="en-AU"/>
        </w:rPr>
        <w:t xml:space="preserve"> </w:t>
      </w:r>
    </w:p>
    <w:p w:rsidR="0028598A" w:rsidRPr="00C96F1A" w:rsidRDefault="00B625AF" w:rsidP="00D806AE">
      <w:pPr>
        <w:rPr>
          <w:rFonts w:ascii="Arial" w:hAnsi="Arial" w:cs="Arial"/>
        </w:rPr>
      </w:pPr>
      <w:r w:rsidRPr="00C96F1A">
        <w:rPr>
          <w:rFonts w:ascii="Arial" w:hAnsi="Arial" w:cs="Arial"/>
        </w:rPr>
        <w:lastRenderedPageBreak/>
        <w:t>In 2017–18, we:</w:t>
      </w:r>
    </w:p>
    <w:p w:rsidR="00FF255B" w:rsidRPr="00FF255B" w:rsidRDefault="00FF255B" w:rsidP="00D806AE">
      <w:pPr>
        <w:pStyle w:val="ListParagraph"/>
        <w:numPr>
          <w:ilvl w:val="0"/>
          <w:numId w:val="28"/>
        </w:numPr>
      </w:pPr>
      <w:r w:rsidRPr="00FF255B">
        <w:t xml:space="preserve">amended the </w:t>
      </w:r>
      <w:r w:rsidRPr="00FF255B">
        <w:rPr>
          <w:i/>
        </w:rPr>
        <w:t>Retirement Villages Act 1999</w:t>
      </w:r>
      <w:r w:rsidRPr="00FF255B">
        <w:t xml:space="preserve"> and the </w:t>
      </w:r>
      <w:r w:rsidRPr="00FF255B">
        <w:rPr>
          <w:i/>
        </w:rPr>
        <w:t>Manufactured Homes (Residential Parks) Act 2003</w:t>
      </w:r>
      <w:r w:rsidRPr="00FF255B">
        <w:t xml:space="preserve"> to enhance fairness and consumer protection while maintaining industry viability </w:t>
      </w:r>
    </w:p>
    <w:p w:rsidR="00FF255B" w:rsidRPr="00FF255B" w:rsidRDefault="00FF255B" w:rsidP="00D806AE">
      <w:pPr>
        <w:pStyle w:val="ListParagraph"/>
        <w:numPr>
          <w:ilvl w:val="0"/>
          <w:numId w:val="28"/>
        </w:numPr>
      </w:pPr>
      <w:r w:rsidRPr="00FF255B">
        <w:t xml:space="preserve">commenced the remake of the expiring </w:t>
      </w:r>
      <w:r w:rsidRPr="00FF255B">
        <w:rPr>
          <w:i/>
        </w:rPr>
        <w:t>Residential Services (Accreditation) Regulation 2002</w:t>
      </w:r>
      <w:r w:rsidRPr="00FF255B">
        <w:t xml:space="preserve"> to update accreditation standards and better protect residents by requiring providers to keep an accident and incident register, and provide First Aid and CPR training for staff that provide personal care </w:t>
      </w:r>
    </w:p>
    <w:p w:rsidR="00FF255B" w:rsidRPr="00FF255B" w:rsidRDefault="00FF255B" w:rsidP="00D806AE">
      <w:pPr>
        <w:pStyle w:val="ListParagraph"/>
        <w:numPr>
          <w:ilvl w:val="0"/>
          <w:numId w:val="28"/>
        </w:numPr>
      </w:pPr>
      <w:r w:rsidRPr="00FF255B">
        <w:t xml:space="preserve">amended the </w:t>
      </w:r>
      <w:r w:rsidRPr="00FF255B">
        <w:rPr>
          <w:i/>
        </w:rPr>
        <w:t>Residential Services (Accreditation) Act 2002</w:t>
      </w:r>
      <w:r w:rsidRPr="00FF255B">
        <w:t xml:space="preserve"> to ensure the framework protects residents, promotes fair trading practices and encourages the growth and viability of the industry </w:t>
      </w:r>
    </w:p>
    <w:p w:rsidR="00FF255B" w:rsidRPr="00FF255B" w:rsidRDefault="00FF255B" w:rsidP="00D806AE">
      <w:pPr>
        <w:pStyle w:val="ListParagraph"/>
        <w:numPr>
          <w:ilvl w:val="0"/>
          <w:numId w:val="28"/>
        </w:numPr>
      </w:pPr>
      <w:r w:rsidRPr="00FF255B">
        <w:t xml:space="preserve">completed registrations for four community housing providers under the National Regulatory System for Community Housing meaning a total of 46 dwellings now have an additional level of protection </w:t>
      </w:r>
    </w:p>
    <w:p w:rsidR="00FF255B" w:rsidRPr="00FF255B" w:rsidRDefault="00FF255B" w:rsidP="00D806AE">
      <w:pPr>
        <w:pStyle w:val="ListParagraph"/>
        <w:numPr>
          <w:ilvl w:val="0"/>
          <w:numId w:val="28"/>
        </w:numPr>
      </w:pPr>
      <w:r w:rsidRPr="00FF255B">
        <w:t xml:space="preserve">registered five new retirement village schemes, which when fully constructed will provide 1,342 new units </w:t>
      </w:r>
    </w:p>
    <w:p w:rsidR="00FF255B" w:rsidRPr="00FF255B" w:rsidRDefault="00FF255B" w:rsidP="00D806AE">
      <w:pPr>
        <w:pStyle w:val="ListParagraph"/>
        <w:numPr>
          <w:ilvl w:val="0"/>
          <w:numId w:val="28"/>
        </w:numPr>
      </w:pPr>
      <w:r w:rsidRPr="00FF255B">
        <w:t xml:space="preserve">saw a total of 1,221 new sites made available for occupation by manufactured home owners, including nine new residential parks recorded during the year </w:t>
      </w:r>
    </w:p>
    <w:p w:rsidR="00FF255B" w:rsidRPr="00FF255B" w:rsidRDefault="00FF255B" w:rsidP="00D806AE">
      <w:pPr>
        <w:pStyle w:val="ListParagraph"/>
        <w:numPr>
          <w:ilvl w:val="0"/>
          <w:numId w:val="28"/>
        </w:numPr>
      </w:pPr>
      <w:r w:rsidRPr="00FF255B">
        <w:t xml:space="preserve">secured further funding for the Queensland Retirement Village and Park Advice Service (formerly PAVIL) and Housing and Employment Program to provide time-limited private rental assistance to eligible clients while they participate in approved training and education courses </w:t>
      </w:r>
    </w:p>
    <w:p w:rsidR="00FF255B" w:rsidRPr="00FF255B" w:rsidRDefault="00FF255B" w:rsidP="00D806AE">
      <w:pPr>
        <w:pStyle w:val="ListParagraph"/>
        <w:numPr>
          <w:ilvl w:val="0"/>
          <w:numId w:val="28"/>
        </w:numPr>
      </w:pPr>
      <w:r w:rsidRPr="00FF255B">
        <w:t xml:space="preserve">improved regulatory frameworks for residential services, retirement villages and manufactured homes, enhancing consumer protection and providing certainty for industry </w:t>
      </w:r>
    </w:p>
    <w:p w:rsidR="00FF255B" w:rsidRPr="00FF255B" w:rsidRDefault="00FF255B" w:rsidP="00D806AE">
      <w:pPr>
        <w:pStyle w:val="ListParagraph"/>
        <w:numPr>
          <w:ilvl w:val="0"/>
          <w:numId w:val="28"/>
        </w:numPr>
      </w:pPr>
      <w:r w:rsidRPr="00FF255B">
        <w:t xml:space="preserve">commenced the engagement process to inform the </w:t>
      </w:r>
      <w:r w:rsidRPr="00FF255B">
        <w:rPr>
          <w:i/>
        </w:rPr>
        <w:t>Residential Tenancies and Rooming Accommodation Act 2008</w:t>
      </w:r>
      <w:r w:rsidRPr="00FF255B">
        <w:t xml:space="preserve"> review which will create a more contemporary legislative framework and better protect tenants and landlords. </w:t>
      </w:r>
    </w:p>
    <w:p w:rsidR="005E1A24" w:rsidRPr="005E1A24" w:rsidRDefault="005E1A24" w:rsidP="005E1A24">
      <w:pPr>
        <w:pStyle w:val="Heading6"/>
      </w:pPr>
      <w:r w:rsidRPr="005E1A24">
        <w:t>Improving safety and environmental sustainability</w:t>
      </w:r>
    </w:p>
    <w:p w:rsidR="005E1A24" w:rsidRPr="005E1A24" w:rsidRDefault="005E1A24" w:rsidP="005E1A24">
      <w:r w:rsidRPr="005E1A24">
        <w:t>The department has continued to deliver safer and fairer housing industries and improve sustainability in our residential housing.</w:t>
      </w:r>
    </w:p>
    <w:p w:rsidR="005E1A24" w:rsidRPr="005E1A24" w:rsidRDefault="005E1A24" w:rsidP="00FF255B">
      <w:r w:rsidRPr="005E1A24">
        <w:t>In 2017–18, we:</w:t>
      </w:r>
    </w:p>
    <w:p w:rsidR="00FF255B" w:rsidRPr="00FF255B" w:rsidRDefault="00FF255B" w:rsidP="00D806AE">
      <w:pPr>
        <w:pStyle w:val="ListParagraph"/>
        <w:numPr>
          <w:ilvl w:val="0"/>
          <w:numId w:val="28"/>
        </w:numPr>
      </w:pPr>
      <w:r w:rsidRPr="00FF255B">
        <w:t xml:space="preserve">supported the Solar on Public Housing trials in Lockhart River, Cairns and Rockhampton and undertook planning for a metropolitan trial to support the installation of solar panels on up to 3,000 rooftops in Logan </w:t>
      </w:r>
    </w:p>
    <w:p w:rsidR="00FF255B" w:rsidRPr="00FF255B" w:rsidRDefault="00FF255B" w:rsidP="00D806AE">
      <w:pPr>
        <w:pStyle w:val="ListParagraph"/>
        <w:numPr>
          <w:ilvl w:val="0"/>
          <w:numId w:val="28"/>
        </w:numPr>
      </w:pPr>
      <w:r w:rsidRPr="00FF255B">
        <w:t xml:space="preserve">developed industry partnerships to shape our future construction and investment programs, creating a pipeline of development opportunities for local trades and builders </w:t>
      </w:r>
    </w:p>
    <w:p w:rsidR="00FF255B" w:rsidRPr="00FF255B" w:rsidRDefault="00FF255B" w:rsidP="00D806AE">
      <w:pPr>
        <w:pStyle w:val="ListParagraph"/>
        <w:numPr>
          <w:ilvl w:val="0"/>
          <w:numId w:val="28"/>
        </w:numPr>
      </w:pPr>
      <w:r w:rsidRPr="00FF255B">
        <w:t xml:space="preserve">worked with the Office of the Queensland Government Architect to introduce innovative design ideas through the Housing Construction Jobs Program, to help provide tailored outcomes for clients and the community </w:t>
      </w:r>
    </w:p>
    <w:p w:rsidR="00FF255B" w:rsidRPr="00FF255B" w:rsidRDefault="00FF255B" w:rsidP="00D806AE">
      <w:pPr>
        <w:pStyle w:val="ListParagraph"/>
        <w:numPr>
          <w:ilvl w:val="0"/>
          <w:numId w:val="28"/>
        </w:numPr>
      </w:pPr>
      <w:r w:rsidRPr="00FF255B">
        <w:t xml:space="preserve">passed legislation providing for minimum standards in rental properties to ensure safety, security and affordability. </w:t>
      </w:r>
    </w:p>
    <w:p w:rsidR="005D7744" w:rsidRDefault="005D7744">
      <w:pPr>
        <w:spacing w:before="0" w:after="0"/>
        <w:rPr>
          <w:rFonts w:asciiTheme="majorHAnsi" w:eastAsiaTheme="majorEastAsia" w:hAnsiTheme="majorHAnsi" w:cstheme="majorBidi"/>
          <w:b/>
          <w:bCs/>
          <w:sz w:val="32"/>
          <w:szCs w:val="26"/>
        </w:rPr>
      </w:pPr>
      <w:r>
        <w:br w:type="page"/>
      </w:r>
    </w:p>
    <w:p w:rsidR="005E1A24" w:rsidRPr="00C96F1A" w:rsidRDefault="005E1A24" w:rsidP="00D806AE">
      <w:pPr>
        <w:pStyle w:val="Heading3"/>
      </w:pPr>
      <w:r w:rsidRPr="00C96F1A">
        <w:lastRenderedPageBreak/>
        <w:t>Our future focus</w:t>
      </w:r>
    </w:p>
    <w:p w:rsidR="005E1A24" w:rsidRPr="00C96F1A" w:rsidRDefault="005E1A24" w:rsidP="005E1A24">
      <w:pPr>
        <w:rPr>
          <w:rFonts w:ascii="Arial" w:hAnsi="Arial" w:cs="Arial"/>
        </w:rPr>
      </w:pPr>
      <w:r w:rsidRPr="00C96F1A">
        <w:rPr>
          <w:rFonts w:ascii="Arial" w:hAnsi="Arial" w:cs="Arial"/>
        </w:rPr>
        <w:t>In 2018–19, the department will continue to play a key role in advancing the Government’s responsive government priority and deliver initiatives that will make a difference to Queenslanders through:</w:t>
      </w:r>
    </w:p>
    <w:p w:rsidR="005E1A24" w:rsidRPr="005E1A24" w:rsidRDefault="005E1A24" w:rsidP="00D806AE">
      <w:pPr>
        <w:pStyle w:val="ListParagraph"/>
        <w:numPr>
          <w:ilvl w:val="0"/>
          <w:numId w:val="27"/>
        </w:numPr>
        <w:rPr>
          <w:rFonts w:ascii="Arial" w:hAnsi="Arial" w:cs="Arial"/>
        </w:rPr>
      </w:pPr>
      <w:r w:rsidRPr="005E1A24">
        <w:rPr>
          <w:rFonts w:ascii="Arial" w:hAnsi="Arial" w:cs="Arial"/>
        </w:rPr>
        <w:t xml:space="preserve">transforming the way housing services are delivered to better support people in need and continuing to implement the </w:t>
      </w:r>
      <w:r w:rsidRPr="005E1A24">
        <w:rPr>
          <w:rFonts w:ascii="Arial" w:hAnsi="Arial" w:cs="Arial"/>
          <w:i/>
        </w:rPr>
        <w:t>Queensland Housing Strategy 2017–27</w:t>
      </w:r>
      <w:r w:rsidRPr="005E1A24">
        <w:rPr>
          <w:rFonts w:ascii="Arial" w:hAnsi="Arial" w:cs="Arial"/>
        </w:rPr>
        <w:t xml:space="preserve"> to deliver improved housing outcomes</w:t>
      </w:r>
    </w:p>
    <w:p w:rsidR="005E1A24" w:rsidRPr="005E1A24" w:rsidRDefault="005E1A24" w:rsidP="00D806AE">
      <w:pPr>
        <w:pStyle w:val="ListParagraph"/>
        <w:numPr>
          <w:ilvl w:val="0"/>
          <w:numId w:val="27"/>
        </w:numPr>
        <w:rPr>
          <w:rFonts w:ascii="Arial" w:hAnsi="Arial" w:cs="Arial"/>
        </w:rPr>
      </w:pPr>
      <w:r w:rsidRPr="005E1A24">
        <w:rPr>
          <w:rFonts w:ascii="Arial" w:hAnsi="Arial" w:cs="Arial"/>
        </w:rPr>
        <w:t>delivering additional social and affordable housing in identified growth areas across the state through the Housing Construction Jobs Program</w:t>
      </w:r>
    </w:p>
    <w:p w:rsidR="005E1A24" w:rsidRPr="005E1A24" w:rsidRDefault="005E1A24" w:rsidP="00D806AE">
      <w:pPr>
        <w:pStyle w:val="ListParagraph"/>
        <w:numPr>
          <w:ilvl w:val="0"/>
          <w:numId w:val="27"/>
        </w:numPr>
        <w:rPr>
          <w:rFonts w:ascii="Arial" w:hAnsi="Arial" w:cs="Arial"/>
        </w:rPr>
      </w:pPr>
      <w:r w:rsidRPr="005E1A24">
        <w:rPr>
          <w:rFonts w:ascii="Arial" w:hAnsi="Arial" w:cs="Arial"/>
        </w:rPr>
        <w:t>providing housing services and increasing home ownership outcomes for Aboriginal and Torres Strait Islander peoples in remote communities</w:t>
      </w:r>
    </w:p>
    <w:p w:rsidR="005E1A24" w:rsidRPr="005E1A24" w:rsidRDefault="005E1A24" w:rsidP="00D806AE">
      <w:pPr>
        <w:pStyle w:val="ListParagraph"/>
        <w:numPr>
          <w:ilvl w:val="0"/>
          <w:numId w:val="27"/>
        </w:numPr>
        <w:rPr>
          <w:rFonts w:ascii="Arial" w:hAnsi="Arial" w:cs="Arial"/>
        </w:rPr>
      </w:pPr>
      <w:r w:rsidRPr="005E1A24">
        <w:rPr>
          <w:rFonts w:ascii="Arial" w:hAnsi="Arial" w:cs="Arial"/>
        </w:rPr>
        <w:t>continuing to provide funding to support innovative responses that help people experiencing homelessness to live with dignity, as well as preventing or reducing homelessness.</w:t>
      </w:r>
    </w:p>
    <w:p w:rsidR="00B42E1C" w:rsidRDefault="00B42E1C" w:rsidP="005E1A24">
      <w:pPr>
        <w:spacing w:before="0" w:after="0"/>
        <w:rPr>
          <w:rFonts w:ascii="Arial" w:hAnsi="Arial" w:cs="Arial"/>
        </w:rPr>
      </w:pPr>
      <w:r>
        <w:rPr>
          <w:rFonts w:ascii="Arial" w:hAnsi="Arial" w:cs="Arial"/>
        </w:rPr>
        <w:br w:type="page"/>
      </w:r>
    </w:p>
    <w:p w:rsidR="0028598A" w:rsidRPr="00C96F1A" w:rsidRDefault="00B625AF" w:rsidP="009B731A">
      <w:pPr>
        <w:pStyle w:val="Heading6"/>
      </w:pPr>
      <w:r w:rsidRPr="00C96F1A">
        <w:lastRenderedPageBreak/>
        <w:t>Housing Construction Jobs Program</w:t>
      </w:r>
    </w:p>
    <w:p w:rsidR="0028598A" w:rsidRPr="00C96F1A" w:rsidRDefault="00B42E1C" w:rsidP="00D806AE">
      <w:pPr>
        <w:pStyle w:val="ListParagraph"/>
        <w:numPr>
          <w:ilvl w:val="0"/>
          <w:numId w:val="29"/>
        </w:numPr>
        <w:rPr>
          <w:rFonts w:ascii="Arial" w:hAnsi="Arial" w:cs="Arial"/>
        </w:rPr>
      </w:pPr>
      <w:r>
        <w:rPr>
          <w:rFonts w:ascii="Arial" w:hAnsi="Arial" w:cs="Arial"/>
        </w:rPr>
        <w:t xml:space="preserve">738 </w:t>
      </w:r>
      <w:r w:rsidR="00B625AF" w:rsidRPr="00FF255B">
        <w:t>jobs</w:t>
      </w:r>
      <w:r w:rsidR="00B625AF" w:rsidRPr="00C96F1A">
        <w:rPr>
          <w:rFonts w:ascii="Arial" w:hAnsi="Arial" w:cs="Arial"/>
        </w:rPr>
        <w:t xml:space="preserve"> have been</w:t>
      </w:r>
      <w:r w:rsidR="009B731A">
        <w:rPr>
          <w:rFonts w:ascii="Arial" w:hAnsi="Arial" w:cs="Arial"/>
        </w:rPr>
        <w:t xml:space="preserve"> supported to date </w:t>
      </w:r>
      <w:r w:rsidR="009B731A" w:rsidRPr="009B731A">
        <w:rPr>
          <w:rFonts w:ascii="Arial" w:hAnsi="Arial" w:cs="Arial"/>
        </w:rPr>
        <w:t>based on contracts committed for construction and expenditure for upgrades</w:t>
      </w:r>
      <w:r w:rsidR="009B731A">
        <w:rPr>
          <w:rFonts w:ascii="Arial" w:hAnsi="Arial" w:cs="Arial"/>
        </w:rPr>
        <w:t>.</w:t>
      </w:r>
    </w:p>
    <w:tbl>
      <w:tblPr>
        <w:tblStyle w:val="TableGrid"/>
        <w:tblW w:w="0" w:type="auto"/>
        <w:tblLook w:val="04A0" w:firstRow="1" w:lastRow="0" w:firstColumn="1" w:lastColumn="0" w:noHBand="0" w:noVBand="1"/>
      </w:tblPr>
      <w:tblGrid>
        <w:gridCol w:w="3455"/>
        <w:gridCol w:w="3214"/>
        <w:gridCol w:w="3071"/>
      </w:tblGrid>
      <w:tr w:rsidR="009B731A" w:rsidRPr="009B731A" w:rsidTr="009B731A">
        <w:tc>
          <w:tcPr>
            <w:tcW w:w="3555" w:type="dxa"/>
          </w:tcPr>
          <w:p w:rsidR="009B731A" w:rsidRPr="009B731A" w:rsidRDefault="009B731A" w:rsidP="00B42E1C">
            <w:pPr>
              <w:rPr>
                <w:rFonts w:ascii="Arial" w:hAnsi="Arial" w:cs="Arial"/>
                <w:b/>
              </w:rPr>
            </w:pPr>
          </w:p>
        </w:tc>
        <w:tc>
          <w:tcPr>
            <w:tcW w:w="3276" w:type="dxa"/>
          </w:tcPr>
          <w:p w:rsidR="009B731A" w:rsidRPr="009B731A" w:rsidRDefault="009B731A" w:rsidP="00B42E1C">
            <w:pPr>
              <w:rPr>
                <w:rFonts w:ascii="Arial" w:hAnsi="Arial" w:cs="Arial"/>
                <w:b/>
              </w:rPr>
            </w:pPr>
            <w:r w:rsidRPr="009B731A">
              <w:rPr>
                <w:rFonts w:ascii="Arial" w:hAnsi="Arial" w:cs="Arial"/>
                <w:b/>
              </w:rPr>
              <w:t>Refurbishments</w:t>
            </w:r>
          </w:p>
        </w:tc>
        <w:tc>
          <w:tcPr>
            <w:tcW w:w="3135" w:type="dxa"/>
          </w:tcPr>
          <w:p w:rsidR="009B731A" w:rsidRPr="009B731A" w:rsidRDefault="009B731A" w:rsidP="00B42E1C">
            <w:pPr>
              <w:rPr>
                <w:rFonts w:ascii="Arial" w:hAnsi="Arial" w:cs="Arial"/>
                <w:b/>
              </w:rPr>
            </w:pPr>
            <w:r w:rsidRPr="009B731A">
              <w:rPr>
                <w:rFonts w:ascii="Arial" w:hAnsi="Arial" w:cs="Arial"/>
                <w:b/>
              </w:rPr>
              <w:t>Constructions</w:t>
            </w:r>
          </w:p>
        </w:tc>
      </w:tr>
      <w:tr w:rsidR="009B731A" w:rsidTr="009B731A">
        <w:tc>
          <w:tcPr>
            <w:tcW w:w="3555" w:type="dxa"/>
          </w:tcPr>
          <w:p w:rsidR="009B731A" w:rsidRDefault="009B731A" w:rsidP="009B731A">
            <w:pPr>
              <w:rPr>
                <w:rFonts w:ascii="Arial" w:hAnsi="Arial" w:cs="Arial"/>
              </w:rPr>
            </w:pPr>
            <w:r>
              <w:rPr>
                <w:rFonts w:ascii="Arial" w:hAnsi="Arial" w:cs="Arial"/>
              </w:rPr>
              <w:t>Total this year</w:t>
            </w:r>
          </w:p>
        </w:tc>
        <w:tc>
          <w:tcPr>
            <w:tcW w:w="3276" w:type="dxa"/>
          </w:tcPr>
          <w:p w:rsidR="009B731A" w:rsidRDefault="009B731A" w:rsidP="009B731A">
            <w:pPr>
              <w:rPr>
                <w:rFonts w:ascii="Arial" w:hAnsi="Arial" w:cs="Arial"/>
              </w:rPr>
            </w:pPr>
            <w:r>
              <w:rPr>
                <w:rFonts w:ascii="Arial" w:hAnsi="Arial" w:cs="Arial"/>
              </w:rPr>
              <w:t>115</w:t>
            </w:r>
          </w:p>
        </w:tc>
        <w:tc>
          <w:tcPr>
            <w:tcW w:w="3135" w:type="dxa"/>
          </w:tcPr>
          <w:p w:rsidR="009B731A" w:rsidRDefault="009B731A" w:rsidP="009B731A">
            <w:pPr>
              <w:rPr>
                <w:rFonts w:ascii="Arial" w:hAnsi="Arial" w:cs="Arial"/>
              </w:rPr>
            </w:pPr>
            <w:r>
              <w:rPr>
                <w:rFonts w:ascii="Arial" w:hAnsi="Arial" w:cs="Arial"/>
              </w:rPr>
              <w:t>623</w:t>
            </w:r>
          </w:p>
        </w:tc>
      </w:tr>
      <w:tr w:rsidR="009B731A" w:rsidTr="009B731A">
        <w:tc>
          <w:tcPr>
            <w:tcW w:w="3555" w:type="dxa"/>
          </w:tcPr>
          <w:p w:rsidR="009B731A" w:rsidRDefault="009B731A" w:rsidP="009B731A">
            <w:pPr>
              <w:rPr>
                <w:rFonts w:ascii="Arial" w:hAnsi="Arial" w:cs="Arial"/>
              </w:rPr>
            </w:pPr>
            <w:r>
              <w:rPr>
                <w:rFonts w:ascii="Arial" w:hAnsi="Arial" w:cs="Arial"/>
              </w:rPr>
              <w:t>Anticipated next year</w:t>
            </w:r>
          </w:p>
        </w:tc>
        <w:tc>
          <w:tcPr>
            <w:tcW w:w="3276" w:type="dxa"/>
          </w:tcPr>
          <w:p w:rsidR="009B731A" w:rsidRDefault="009B731A" w:rsidP="009B731A">
            <w:pPr>
              <w:rPr>
                <w:rFonts w:ascii="Arial" w:hAnsi="Arial" w:cs="Arial"/>
              </w:rPr>
            </w:pPr>
            <w:r>
              <w:rPr>
                <w:rFonts w:ascii="Arial" w:hAnsi="Arial" w:cs="Arial"/>
              </w:rPr>
              <w:t>140</w:t>
            </w:r>
          </w:p>
        </w:tc>
        <w:tc>
          <w:tcPr>
            <w:tcW w:w="3135" w:type="dxa"/>
          </w:tcPr>
          <w:p w:rsidR="009B731A" w:rsidRDefault="009B731A" w:rsidP="009B731A">
            <w:pPr>
              <w:rPr>
                <w:rFonts w:ascii="Arial" w:hAnsi="Arial" w:cs="Arial"/>
              </w:rPr>
            </w:pPr>
            <w:r>
              <w:rPr>
                <w:rFonts w:ascii="Arial" w:hAnsi="Arial" w:cs="Arial"/>
              </w:rPr>
              <w:t>458</w:t>
            </w:r>
          </w:p>
        </w:tc>
      </w:tr>
    </w:tbl>
    <w:p w:rsidR="0028598A" w:rsidRPr="007F7EE9" w:rsidRDefault="009B731A" w:rsidP="00D806AE">
      <w:pPr>
        <w:pStyle w:val="ListParagraph"/>
        <w:numPr>
          <w:ilvl w:val="0"/>
          <w:numId w:val="29"/>
        </w:numPr>
      </w:pPr>
      <w:r w:rsidRPr="007F7EE9">
        <w:t>Improved amenity and liveability outcomes for tenants in urban areas by delivering 82% of new homes to Livable Design Standard exceeding the target of 50%.</w:t>
      </w:r>
    </w:p>
    <w:p w:rsidR="0028598A" w:rsidRPr="007F7EE9" w:rsidRDefault="001E07C8" w:rsidP="00D806AE">
      <w:pPr>
        <w:pStyle w:val="ListParagraph"/>
        <w:numPr>
          <w:ilvl w:val="0"/>
          <w:numId w:val="29"/>
        </w:numPr>
      </w:pPr>
      <w:r w:rsidRPr="007F7EE9">
        <w:t xml:space="preserve">The </w:t>
      </w:r>
      <w:r w:rsidR="00B625AF" w:rsidRPr="007F7EE9">
        <w:rPr>
          <w:i/>
        </w:rPr>
        <w:t>Queensland Housing Strategy 2017</w:t>
      </w:r>
      <w:r w:rsidR="00C37BF4">
        <w:rPr>
          <w:i/>
        </w:rPr>
        <w:t>–</w:t>
      </w:r>
      <w:r w:rsidR="00B625AF" w:rsidRPr="007F7EE9">
        <w:rPr>
          <w:i/>
        </w:rPr>
        <w:t>2027</w:t>
      </w:r>
      <w:r w:rsidR="00B625AF" w:rsidRPr="007F7EE9">
        <w:t xml:space="preserve"> redefines how the Queensland Government will deliver housing, urban renewal, new jobs and affordable housing, and drive innovative housing design that responds to contemporary housing needs</w:t>
      </w:r>
      <w:r w:rsidR="009B731A" w:rsidRPr="007F7EE9">
        <w:t>.</w:t>
      </w:r>
    </w:p>
    <w:p w:rsidR="0028598A" w:rsidRPr="007F7EE9" w:rsidRDefault="009B731A" w:rsidP="00D806AE">
      <w:pPr>
        <w:pStyle w:val="ListParagraph"/>
        <w:numPr>
          <w:ilvl w:val="0"/>
          <w:numId w:val="29"/>
        </w:numPr>
      </w:pPr>
      <w:r w:rsidRPr="007F7EE9">
        <w:t>Significant progress has been made delivering on actions across the four pillars of the Strategy, including the delivery of new supply in precincts across Queensland; the creation of greater integration across the housing and homelessness system; the provision of pathways into social and economic independence; and the creation of a stronger and fairer legislative and regulatory platform.</w:t>
      </w:r>
    </w:p>
    <w:p w:rsidR="009B731A" w:rsidRDefault="009B731A" w:rsidP="00C96F1A">
      <w:pPr>
        <w:rPr>
          <w:rFonts w:ascii="Arial" w:hAnsi="Arial" w:cs="Arial"/>
        </w:rPr>
      </w:pPr>
    </w:p>
    <w:p w:rsidR="00D806AE" w:rsidRDefault="00D806AE" w:rsidP="00D806AE">
      <w:pPr>
        <w:pStyle w:val="Heading3"/>
      </w:pPr>
      <w:r>
        <w:t>Key Statistics</w:t>
      </w:r>
    </w:p>
    <w:tbl>
      <w:tblPr>
        <w:tblW w:w="5000" w:type="pct"/>
        <w:tblCellMar>
          <w:left w:w="0" w:type="dxa"/>
          <w:right w:w="0" w:type="dxa"/>
        </w:tblCellMar>
        <w:tblLook w:val="04A0" w:firstRow="1" w:lastRow="0" w:firstColumn="1" w:lastColumn="0" w:noHBand="0" w:noVBand="1"/>
      </w:tblPr>
      <w:tblGrid>
        <w:gridCol w:w="1879"/>
        <w:gridCol w:w="1412"/>
        <w:gridCol w:w="1242"/>
        <w:gridCol w:w="1679"/>
        <w:gridCol w:w="3518"/>
      </w:tblGrid>
      <w:tr w:rsidR="00B20DE8" w:rsidRPr="009B731A" w:rsidTr="005F52BA">
        <w:tc>
          <w:tcPr>
            <w:tcW w:w="96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20DE8" w:rsidRPr="009B731A" w:rsidRDefault="00B20DE8" w:rsidP="005F52BA">
            <w:pPr>
              <w:rPr>
                <w:b/>
              </w:rPr>
            </w:pPr>
            <w:r w:rsidRPr="009B731A">
              <w:rPr>
                <w:b/>
              </w:rPr>
              <w:t>Measure</w:t>
            </w:r>
          </w:p>
        </w:tc>
        <w:tc>
          <w:tcPr>
            <w:tcW w:w="72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20DE8" w:rsidRPr="009B731A" w:rsidRDefault="00B20DE8" w:rsidP="005F52BA">
            <w:pPr>
              <w:rPr>
                <w:b/>
              </w:rPr>
            </w:pPr>
            <w:r w:rsidRPr="009B731A">
              <w:rPr>
                <w:b/>
              </w:rPr>
              <w:t>Reporting period</w:t>
            </w:r>
          </w:p>
        </w:tc>
        <w:tc>
          <w:tcPr>
            <w:tcW w:w="63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20DE8" w:rsidRPr="009B731A" w:rsidRDefault="00B20DE8" w:rsidP="005F52BA">
            <w:pPr>
              <w:rPr>
                <w:b/>
              </w:rPr>
            </w:pPr>
            <w:r w:rsidRPr="009B731A">
              <w:rPr>
                <w:b/>
              </w:rPr>
              <w:t>National average</w:t>
            </w:r>
          </w:p>
        </w:tc>
        <w:tc>
          <w:tcPr>
            <w:tcW w:w="8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20DE8" w:rsidRPr="009B731A" w:rsidRDefault="00B20DE8" w:rsidP="005F52BA">
            <w:pPr>
              <w:rPr>
                <w:b/>
              </w:rPr>
            </w:pPr>
            <w:r w:rsidRPr="009B731A">
              <w:rPr>
                <w:b/>
              </w:rPr>
              <w:t>Queensland result</w:t>
            </w:r>
          </w:p>
        </w:tc>
        <w:tc>
          <w:tcPr>
            <w:tcW w:w="180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20DE8" w:rsidRPr="009B731A" w:rsidRDefault="00B20DE8" w:rsidP="005F52BA">
            <w:pPr>
              <w:rPr>
                <w:b/>
              </w:rPr>
            </w:pPr>
            <w:r w:rsidRPr="009B731A">
              <w:rPr>
                <w:b/>
              </w:rPr>
              <w:t>Source</w:t>
            </w:r>
          </w:p>
        </w:tc>
      </w:tr>
      <w:tr w:rsidR="00B20DE8" w:rsidRPr="009B731A" w:rsidTr="005F52BA">
        <w:trPr>
          <w:trHeight w:val="343"/>
        </w:trPr>
        <w:tc>
          <w:tcPr>
            <w:tcW w:w="96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0DE8" w:rsidRPr="009B731A" w:rsidRDefault="00B20DE8" w:rsidP="005F52BA">
            <w:r w:rsidRPr="009B731A">
              <w:t>New public housing allocations to households with the greatest need</w:t>
            </w:r>
          </w:p>
        </w:tc>
        <w:tc>
          <w:tcPr>
            <w:tcW w:w="725" w:type="pct"/>
            <w:tcBorders>
              <w:top w:val="nil"/>
              <w:left w:val="nil"/>
              <w:bottom w:val="single" w:sz="8" w:space="0" w:color="auto"/>
              <w:right w:val="single" w:sz="8" w:space="0" w:color="auto"/>
            </w:tcBorders>
            <w:tcMar>
              <w:top w:w="0" w:type="dxa"/>
              <w:left w:w="108" w:type="dxa"/>
              <w:bottom w:w="0" w:type="dxa"/>
              <w:right w:w="108" w:type="dxa"/>
            </w:tcMar>
            <w:hideMark/>
          </w:tcPr>
          <w:p w:rsidR="00B20DE8" w:rsidRPr="009B731A" w:rsidRDefault="00B20DE8" w:rsidP="005F52BA">
            <w:r w:rsidRPr="009B731A">
              <w:t>2016-17</w:t>
            </w:r>
          </w:p>
        </w:tc>
        <w:tc>
          <w:tcPr>
            <w:tcW w:w="638" w:type="pct"/>
            <w:tcBorders>
              <w:top w:val="nil"/>
              <w:left w:val="nil"/>
              <w:bottom w:val="single" w:sz="8" w:space="0" w:color="auto"/>
              <w:right w:val="single" w:sz="8" w:space="0" w:color="auto"/>
            </w:tcBorders>
            <w:tcMar>
              <w:top w:w="0" w:type="dxa"/>
              <w:left w:w="108" w:type="dxa"/>
              <w:bottom w:w="0" w:type="dxa"/>
              <w:right w:w="108" w:type="dxa"/>
            </w:tcMar>
            <w:hideMark/>
          </w:tcPr>
          <w:p w:rsidR="00B20DE8" w:rsidRPr="009B731A" w:rsidRDefault="00B20DE8" w:rsidP="005F52BA">
            <w:r w:rsidRPr="009B731A">
              <w:t>74.3%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20DE8" w:rsidRPr="009B731A" w:rsidRDefault="00B20DE8" w:rsidP="005F52BA">
            <w:r w:rsidRPr="009B731A">
              <w:t>96.9%</w:t>
            </w:r>
          </w:p>
        </w:tc>
        <w:tc>
          <w:tcPr>
            <w:tcW w:w="18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20DE8" w:rsidRPr="009B731A" w:rsidRDefault="00B20DE8" w:rsidP="005F52BA">
            <w:r w:rsidRPr="009B731A">
              <w:t>AIHW National Housing Assistance Data Repository as reported in 2018 Report on Government Services vol G, Housing and Homelessness, Productivity Commission, Canberra</w:t>
            </w:r>
          </w:p>
        </w:tc>
      </w:tr>
      <w:tr w:rsidR="00B20DE8" w:rsidRPr="009B731A" w:rsidTr="005F52BA">
        <w:trPr>
          <w:trHeight w:val="30"/>
        </w:trPr>
        <w:tc>
          <w:tcPr>
            <w:tcW w:w="965" w:type="pct"/>
            <w:vMerge/>
            <w:tcBorders>
              <w:top w:val="nil"/>
              <w:left w:val="single" w:sz="8" w:space="0" w:color="auto"/>
              <w:bottom w:val="single" w:sz="8" w:space="0" w:color="auto"/>
              <w:right w:val="single" w:sz="8" w:space="0" w:color="auto"/>
            </w:tcBorders>
            <w:vAlign w:val="center"/>
            <w:hideMark/>
          </w:tcPr>
          <w:p w:rsidR="00B20DE8" w:rsidRPr="009B731A" w:rsidRDefault="00B20DE8" w:rsidP="005F52BA"/>
        </w:tc>
        <w:tc>
          <w:tcPr>
            <w:tcW w:w="725" w:type="pct"/>
            <w:tcBorders>
              <w:top w:val="nil"/>
              <w:left w:val="nil"/>
              <w:bottom w:val="single" w:sz="8" w:space="0" w:color="auto"/>
              <w:right w:val="single" w:sz="8" w:space="0" w:color="auto"/>
            </w:tcBorders>
            <w:tcMar>
              <w:top w:w="0" w:type="dxa"/>
              <w:left w:w="108" w:type="dxa"/>
              <w:bottom w:w="0" w:type="dxa"/>
              <w:right w:w="108" w:type="dxa"/>
            </w:tcMar>
            <w:hideMark/>
          </w:tcPr>
          <w:p w:rsidR="00B20DE8" w:rsidRPr="009B731A" w:rsidRDefault="00B20DE8" w:rsidP="005F52BA">
            <w:r w:rsidRPr="009B731A">
              <w:t>2015-16</w:t>
            </w:r>
          </w:p>
        </w:tc>
        <w:tc>
          <w:tcPr>
            <w:tcW w:w="638" w:type="pct"/>
            <w:tcBorders>
              <w:top w:val="nil"/>
              <w:left w:val="nil"/>
              <w:bottom w:val="single" w:sz="8" w:space="0" w:color="auto"/>
              <w:right w:val="single" w:sz="8" w:space="0" w:color="auto"/>
            </w:tcBorders>
            <w:tcMar>
              <w:top w:w="0" w:type="dxa"/>
              <w:left w:w="108" w:type="dxa"/>
              <w:bottom w:w="0" w:type="dxa"/>
              <w:right w:w="108" w:type="dxa"/>
            </w:tcMar>
            <w:hideMark/>
          </w:tcPr>
          <w:p w:rsidR="00B20DE8" w:rsidRPr="009B731A" w:rsidRDefault="00B20DE8" w:rsidP="005F52BA">
            <w:r w:rsidRPr="009B731A">
              <w:t>75.1%</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20DE8" w:rsidRPr="009B731A" w:rsidRDefault="00B20DE8" w:rsidP="005F52BA">
            <w:r w:rsidRPr="009B731A">
              <w:t>96.9%</w:t>
            </w:r>
          </w:p>
        </w:tc>
        <w:tc>
          <w:tcPr>
            <w:tcW w:w="1808" w:type="pct"/>
            <w:vMerge/>
            <w:tcBorders>
              <w:top w:val="nil"/>
              <w:left w:val="nil"/>
              <w:bottom w:val="single" w:sz="8" w:space="0" w:color="auto"/>
              <w:right w:val="single" w:sz="8" w:space="0" w:color="auto"/>
            </w:tcBorders>
            <w:vAlign w:val="center"/>
            <w:hideMark/>
          </w:tcPr>
          <w:p w:rsidR="00B20DE8" w:rsidRPr="009B731A" w:rsidRDefault="00B20DE8" w:rsidP="005F52BA"/>
        </w:tc>
      </w:tr>
      <w:tr w:rsidR="00B20DE8" w:rsidRPr="009B731A" w:rsidTr="005F52BA">
        <w:trPr>
          <w:trHeight w:val="23"/>
        </w:trPr>
        <w:tc>
          <w:tcPr>
            <w:tcW w:w="96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0DE8" w:rsidRPr="009B731A" w:rsidRDefault="00B20DE8" w:rsidP="005F52BA">
            <w:r w:rsidRPr="009B731A">
              <w:t>Public housing dwelling condition</w:t>
            </w:r>
          </w:p>
        </w:tc>
        <w:tc>
          <w:tcPr>
            <w:tcW w:w="725" w:type="pct"/>
            <w:tcBorders>
              <w:top w:val="nil"/>
              <w:left w:val="nil"/>
              <w:bottom w:val="single" w:sz="8" w:space="0" w:color="auto"/>
              <w:right w:val="single" w:sz="8" w:space="0" w:color="auto"/>
            </w:tcBorders>
            <w:tcMar>
              <w:top w:w="0" w:type="dxa"/>
              <w:left w:w="108" w:type="dxa"/>
              <w:bottom w:w="0" w:type="dxa"/>
              <w:right w:w="108" w:type="dxa"/>
            </w:tcMar>
            <w:hideMark/>
          </w:tcPr>
          <w:p w:rsidR="00B20DE8" w:rsidRPr="009B731A" w:rsidRDefault="00B20DE8" w:rsidP="005F52BA">
            <w:r w:rsidRPr="009B731A">
              <w:t>2016</w:t>
            </w:r>
          </w:p>
        </w:tc>
        <w:tc>
          <w:tcPr>
            <w:tcW w:w="638" w:type="pct"/>
            <w:tcBorders>
              <w:top w:val="nil"/>
              <w:left w:val="nil"/>
              <w:bottom w:val="single" w:sz="8" w:space="0" w:color="auto"/>
              <w:right w:val="single" w:sz="8" w:space="0" w:color="auto"/>
            </w:tcBorders>
            <w:tcMar>
              <w:top w:w="0" w:type="dxa"/>
              <w:left w:w="108" w:type="dxa"/>
              <w:bottom w:w="0" w:type="dxa"/>
              <w:right w:w="108" w:type="dxa"/>
            </w:tcMar>
            <w:hideMark/>
          </w:tcPr>
          <w:p w:rsidR="00B20DE8" w:rsidRPr="009B731A" w:rsidRDefault="00B20DE8" w:rsidP="005F52BA">
            <w:r w:rsidRPr="009B731A">
              <w:t>80.7%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20DE8" w:rsidRPr="009B731A" w:rsidRDefault="00B20DE8" w:rsidP="005F52BA">
            <w:r w:rsidRPr="009B731A">
              <w:t>86.8%</w:t>
            </w:r>
          </w:p>
        </w:tc>
        <w:tc>
          <w:tcPr>
            <w:tcW w:w="18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20DE8" w:rsidRPr="009B731A" w:rsidRDefault="00B20DE8" w:rsidP="005F52BA">
            <w:r w:rsidRPr="009B731A">
              <w:t>AIHW National Social Housing Survey 2014, 2016 as reported in 2018 Report on Government Services vol G, Housing and Homelessness, Productivity Commission, Canberra</w:t>
            </w:r>
          </w:p>
        </w:tc>
      </w:tr>
      <w:tr w:rsidR="00B20DE8" w:rsidRPr="009B731A" w:rsidTr="005F52BA">
        <w:trPr>
          <w:trHeight w:val="22"/>
        </w:trPr>
        <w:tc>
          <w:tcPr>
            <w:tcW w:w="965" w:type="pct"/>
            <w:vMerge/>
            <w:tcBorders>
              <w:top w:val="nil"/>
              <w:left w:val="single" w:sz="8" w:space="0" w:color="auto"/>
              <w:bottom w:val="single" w:sz="8" w:space="0" w:color="auto"/>
              <w:right w:val="single" w:sz="8" w:space="0" w:color="auto"/>
            </w:tcBorders>
            <w:vAlign w:val="center"/>
            <w:hideMark/>
          </w:tcPr>
          <w:p w:rsidR="00B20DE8" w:rsidRPr="009B731A" w:rsidRDefault="00B20DE8" w:rsidP="005F52BA"/>
        </w:tc>
        <w:tc>
          <w:tcPr>
            <w:tcW w:w="725" w:type="pct"/>
            <w:tcBorders>
              <w:top w:val="nil"/>
              <w:left w:val="nil"/>
              <w:bottom w:val="single" w:sz="8" w:space="0" w:color="auto"/>
              <w:right w:val="single" w:sz="8" w:space="0" w:color="auto"/>
            </w:tcBorders>
            <w:tcMar>
              <w:top w:w="0" w:type="dxa"/>
              <w:left w:w="108" w:type="dxa"/>
              <w:bottom w:w="0" w:type="dxa"/>
              <w:right w:w="108" w:type="dxa"/>
            </w:tcMar>
            <w:hideMark/>
          </w:tcPr>
          <w:p w:rsidR="00B20DE8" w:rsidRPr="009B731A" w:rsidRDefault="00B20DE8" w:rsidP="005F52BA">
            <w:r w:rsidRPr="009B731A">
              <w:t>2014</w:t>
            </w:r>
          </w:p>
        </w:tc>
        <w:tc>
          <w:tcPr>
            <w:tcW w:w="638" w:type="pct"/>
            <w:tcBorders>
              <w:top w:val="nil"/>
              <w:left w:val="nil"/>
              <w:bottom w:val="single" w:sz="8" w:space="0" w:color="auto"/>
              <w:right w:val="single" w:sz="8" w:space="0" w:color="auto"/>
            </w:tcBorders>
            <w:tcMar>
              <w:top w:w="0" w:type="dxa"/>
              <w:left w:w="108" w:type="dxa"/>
              <w:bottom w:w="0" w:type="dxa"/>
              <w:right w:w="108" w:type="dxa"/>
            </w:tcMar>
            <w:hideMark/>
          </w:tcPr>
          <w:p w:rsidR="00B20DE8" w:rsidRPr="009B731A" w:rsidRDefault="00B20DE8" w:rsidP="005F52BA">
            <w:r w:rsidRPr="009B731A">
              <w:t>81.0%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20DE8" w:rsidRPr="009B731A" w:rsidRDefault="00B20DE8" w:rsidP="005F52BA">
            <w:r w:rsidRPr="009B731A">
              <w:t>88.3%</w:t>
            </w:r>
          </w:p>
        </w:tc>
        <w:tc>
          <w:tcPr>
            <w:tcW w:w="1808" w:type="pct"/>
            <w:vMerge/>
            <w:tcBorders>
              <w:top w:val="nil"/>
              <w:left w:val="nil"/>
              <w:bottom w:val="single" w:sz="8" w:space="0" w:color="auto"/>
              <w:right w:val="single" w:sz="8" w:space="0" w:color="auto"/>
            </w:tcBorders>
            <w:vAlign w:val="center"/>
            <w:hideMark/>
          </w:tcPr>
          <w:p w:rsidR="00B20DE8" w:rsidRPr="009B731A" w:rsidRDefault="00B20DE8" w:rsidP="005F52BA"/>
        </w:tc>
      </w:tr>
    </w:tbl>
    <w:p w:rsidR="00B20DE8" w:rsidRPr="00B20DE8" w:rsidRDefault="00B20DE8" w:rsidP="00B20DE8"/>
    <w:p w:rsidR="007A046A" w:rsidRDefault="007A046A">
      <w:pPr>
        <w:spacing w:before="0" w:after="0"/>
        <w:rPr>
          <w:caps/>
          <w:color w:val="000000" w:themeColor="text1"/>
          <w:szCs w:val="32"/>
        </w:rPr>
        <w:sectPr w:rsidR="007A046A" w:rsidSect="008E71AD">
          <w:footerReference w:type="even" r:id="rId22"/>
          <w:footerReference w:type="default" r:id="rId23"/>
          <w:pgSz w:w="11910" w:h="16840"/>
          <w:pgMar w:top="1440" w:right="1080" w:bottom="1440" w:left="1080" w:header="720" w:footer="720" w:gutter="0"/>
          <w:cols w:space="720"/>
        </w:sectPr>
      </w:pPr>
    </w:p>
    <w:p w:rsidR="00BD5DDA" w:rsidRPr="008404C2" w:rsidRDefault="00BD5DDA" w:rsidP="00D806AE">
      <w:pPr>
        <w:pStyle w:val="Heading3"/>
        <w:rPr>
          <w:rFonts w:eastAsia="Arial" w:cs="Arial"/>
        </w:rPr>
      </w:pPr>
      <w:r w:rsidRPr="003111AC">
        <w:lastRenderedPageBreak/>
        <w:t>Serv</w:t>
      </w:r>
      <w:r w:rsidRPr="007A2229">
        <w:t>ice Standards</w:t>
      </w:r>
    </w:p>
    <w:tbl>
      <w:tblPr>
        <w:tblW w:w="9784"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6774"/>
        <w:gridCol w:w="1470"/>
        <w:gridCol w:w="1540"/>
      </w:tblGrid>
      <w:tr w:rsidR="00BD5DDA" w:rsidRPr="00A52F16" w:rsidTr="003979CD">
        <w:trPr>
          <w:cantSplit/>
          <w:tblHeader/>
        </w:trPr>
        <w:tc>
          <w:tcPr>
            <w:tcW w:w="6774" w:type="dxa"/>
            <w:shd w:val="clear" w:color="auto" w:fill="000000" w:themeFill="text1"/>
            <w:vAlign w:val="center"/>
            <w:hideMark/>
          </w:tcPr>
          <w:p w:rsidR="00BD5DDA" w:rsidRPr="00A52F16" w:rsidRDefault="00BD5DDA" w:rsidP="00BD5DDA">
            <w:pPr>
              <w:pStyle w:val="TableTextHeading"/>
              <w:jc w:val="left"/>
              <w:rPr>
                <w:color w:val="FFFFFF" w:themeColor="background1"/>
              </w:rPr>
            </w:pPr>
            <w:r w:rsidRPr="11284B68">
              <w:rPr>
                <w:color w:val="FFFFFF" w:themeColor="background1"/>
              </w:rPr>
              <w:t xml:space="preserve">Housing and Homelessness </w:t>
            </w:r>
            <w:r>
              <w:rPr>
                <w:color w:val="FFFFFF" w:themeColor="background1"/>
              </w:rPr>
              <w:t>S</w:t>
            </w:r>
            <w:r w:rsidRPr="11284B68">
              <w:rPr>
                <w:color w:val="FFFFFF" w:themeColor="background1"/>
              </w:rPr>
              <w:t>ervices</w:t>
            </w:r>
          </w:p>
        </w:tc>
        <w:tc>
          <w:tcPr>
            <w:tcW w:w="1470" w:type="dxa"/>
            <w:shd w:val="clear" w:color="auto" w:fill="000000" w:themeFill="text1"/>
            <w:vAlign w:val="center"/>
          </w:tcPr>
          <w:p w:rsidR="00BD5DDA" w:rsidRPr="00A52F16" w:rsidRDefault="00BD5DDA" w:rsidP="00BD5DDA">
            <w:pPr>
              <w:pStyle w:val="TableTextHeading"/>
              <w:rPr>
                <w:color w:val="FFFFFF" w:themeColor="background1"/>
              </w:rPr>
            </w:pPr>
            <w:r>
              <w:rPr>
                <w:color w:val="FFFFFF" w:themeColor="background1"/>
              </w:rPr>
              <w:t>2017–18</w:t>
            </w:r>
          </w:p>
          <w:p w:rsidR="00BD5DDA" w:rsidRPr="00A52F16" w:rsidRDefault="00BD5DDA" w:rsidP="00BD5DDA">
            <w:pPr>
              <w:pStyle w:val="TableTextHeading"/>
              <w:rPr>
                <w:color w:val="FFFFFF" w:themeColor="background1"/>
              </w:rPr>
            </w:pPr>
            <w:r w:rsidRPr="11284B68">
              <w:rPr>
                <w:color w:val="FFFFFF" w:themeColor="background1"/>
              </w:rPr>
              <w:t>Target/Est.</w:t>
            </w:r>
          </w:p>
        </w:tc>
        <w:tc>
          <w:tcPr>
            <w:tcW w:w="1540" w:type="dxa"/>
            <w:shd w:val="clear" w:color="auto" w:fill="000000" w:themeFill="text1"/>
            <w:vAlign w:val="center"/>
            <w:hideMark/>
          </w:tcPr>
          <w:p w:rsidR="00BD5DDA" w:rsidRPr="00A52F16" w:rsidRDefault="00BD5DDA" w:rsidP="00BD5DDA">
            <w:pPr>
              <w:pStyle w:val="TableTextHeading"/>
              <w:rPr>
                <w:color w:val="FFFFFF" w:themeColor="background1"/>
              </w:rPr>
            </w:pPr>
            <w:r>
              <w:rPr>
                <w:color w:val="FFFFFF" w:themeColor="background1"/>
              </w:rPr>
              <w:t>2017–18</w:t>
            </w:r>
          </w:p>
          <w:p w:rsidR="00BD5DDA" w:rsidRPr="00A52F16" w:rsidRDefault="00BD5DDA" w:rsidP="00BD5DDA">
            <w:pPr>
              <w:pStyle w:val="TableTextHeading"/>
              <w:rPr>
                <w:color w:val="FFFFFF" w:themeColor="background1"/>
              </w:rPr>
            </w:pPr>
            <w:r w:rsidRPr="11284B68">
              <w:rPr>
                <w:color w:val="FFFFFF" w:themeColor="background1"/>
              </w:rPr>
              <w:t>Actual</w:t>
            </w:r>
          </w:p>
        </w:tc>
      </w:tr>
      <w:tr w:rsidR="00BD5DDA" w:rsidRPr="00E80CF2" w:rsidTr="003979CD">
        <w:trPr>
          <w:cantSplit/>
        </w:trPr>
        <w:tc>
          <w:tcPr>
            <w:tcW w:w="6774" w:type="dxa"/>
            <w:shd w:val="clear" w:color="auto" w:fill="808080" w:themeFill="text1" w:themeFillTint="7F"/>
            <w:vAlign w:val="bottom"/>
          </w:tcPr>
          <w:p w:rsidR="00BD5DDA" w:rsidRPr="00E80CF2" w:rsidRDefault="00BD5DDA" w:rsidP="00BD5DDA">
            <w:pPr>
              <w:pStyle w:val="TableTextBold"/>
              <w:rPr>
                <w:color w:val="FFFFFF" w:themeColor="background1"/>
              </w:rPr>
            </w:pPr>
            <w:r w:rsidRPr="11284B68">
              <w:rPr>
                <w:color w:val="FFFFFF" w:themeColor="background1"/>
              </w:rPr>
              <w:t>Service: Housing services</w:t>
            </w:r>
          </w:p>
        </w:tc>
        <w:tc>
          <w:tcPr>
            <w:tcW w:w="1470" w:type="dxa"/>
            <w:shd w:val="clear" w:color="auto" w:fill="808080" w:themeFill="text1" w:themeFillTint="7F"/>
            <w:vAlign w:val="bottom"/>
          </w:tcPr>
          <w:p w:rsidR="00BD5DDA" w:rsidRPr="00E80CF2" w:rsidRDefault="00BD5DDA" w:rsidP="00BD5DDA">
            <w:pPr>
              <w:pStyle w:val="TableText"/>
              <w:rPr>
                <w:color w:val="FFFFFF" w:themeColor="background1"/>
              </w:rPr>
            </w:pPr>
          </w:p>
        </w:tc>
        <w:tc>
          <w:tcPr>
            <w:tcW w:w="1540" w:type="dxa"/>
            <w:shd w:val="clear" w:color="auto" w:fill="808080" w:themeFill="text1" w:themeFillTint="7F"/>
            <w:vAlign w:val="bottom"/>
          </w:tcPr>
          <w:p w:rsidR="00BD5DDA" w:rsidRPr="00E80CF2" w:rsidRDefault="00BD5DDA" w:rsidP="00BD5DDA">
            <w:pPr>
              <w:pStyle w:val="TableText"/>
              <w:rPr>
                <w:color w:val="FFFFFF" w:themeColor="background1"/>
              </w:rPr>
            </w:pPr>
          </w:p>
        </w:tc>
      </w:tr>
      <w:tr w:rsidR="00BD5DDA" w:rsidRPr="00E80CF2" w:rsidTr="003979CD">
        <w:trPr>
          <w:cantSplit/>
        </w:trPr>
        <w:tc>
          <w:tcPr>
            <w:tcW w:w="6774" w:type="dxa"/>
            <w:shd w:val="clear" w:color="auto" w:fill="D9D9D9" w:themeFill="background1" w:themeFillShade="D9"/>
            <w:vAlign w:val="bottom"/>
          </w:tcPr>
          <w:p w:rsidR="00BD5DDA" w:rsidRPr="008404C2" w:rsidRDefault="00BD5DDA" w:rsidP="00BD5DDA">
            <w:pPr>
              <w:pStyle w:val="TableTextItalics"/>
              <w:rPr>
                <w:b/>
                <w:bCs/>
              </w:rPr>
            </w:pPr>
            <w:r w:rsidRPr="003111AC">
              <w:rPr>
                <w:b/>
                <w:bCs/>
              </w:rPr>
              <w:t>Effectiveness measures</w:t>
            </w:r>
          </w:p>
        </w:tc>
        <w:tc>
          <w:tcPr>
            <w:tcW w:w="1470" w:type="dxa"/>
            <w:shd w:val="clear" w:color="auto" w:fill="D9D9D9" w:themeFill="background1" w:themeFillShade="D9"/>
            <w:vAlign w:val="bottom"/>
          </w:tcPr>
          <w:p w:rsidR="00BD5DDA" w:rsidRPr="00E80CF2" w:rsidRDefault="00BD5DDA" w:rsidP="00BD5DDA">
            <w:pPr>
              <w:pStyle w:val="TableText"/>
              <w:rPr>
                <w:b/>
              </w:rPr>
            </w:pPr>
          </w:p>
        </w:tc>
        <w:tc>
          <w:tcPr>
            <w:tcW w:w="1540" w:type="dxa"/>
            <w:shd w:val="clear" w:color="auto" w:fill="D9D9D9" w:themeFill="background1" w:themeFillShade="D9"/>
            <w:vAlign w:val="bottom"/>
          </w:tcPr>
          <w:p w:rsidR="00BD5DDA" w:rsidRPr="00E80CF2" w:rsidRDefault="00BD5DDA" w:rsidP="00BD5DDA">
            <w:pPr>
              <w:pStyle w:val="TableText"/>
              <w:rPr>
                <w:b/>
              </w:rPr>
            </w:pPr>
          </w:p>
        </w:tc>
      </w:tr>
      <w:tr w:rsidR="00BD5DDA" w:rsidRPr="00246DD9" w:rsidTr="003979CD">
        <w:trPr>
          <w:cantSplit/>
        </w:trPr>
        <w:tc>
          <w:tcPr>
            <w:tcW w:w="6774" w:type="dxa"/>
            <w:vAlign w:val="bottom"/>
            <w:hideMark/>
          </w:tcPr>
          <w:p w:rsidR="00BD5DDA" w:rsidRPr="00246DD9" w:rsidRDefault="00BD5DDA" w:rsidP="00BD5DDA">
            <w:pPr>
              <w:pStyle w:val="TableText"/>
            </w:pPr>
            <w:r w:rsidRPr="009547C0">
              <w:t>Level of overall client satisfaction</w:t>
            </w:r>
          </w:p>
        </w:tc>
        <w:tc>
          <w:tcPr>
            <w:tcW w:w="1470" w:type="dxa"/>
            <w:vAlign w:val="bottom"/>
          </w:tcPr>
          <w:p w:rsidR="00BD5DDA" w:rsidRPr="00246DD9" w:rsidRDefault="00BD5DDA" w:rsidP="00BD5DDA">
            <w:pPr>
              <w:pStyle w:val="TableTextRight"/>
            </w:pPr>
          </w:p>
        </w:tc>
        <w:tc>
          <w:tcPr>
            <w:tcW w:w="1540" w:type="dxa"/>
            <w:shd w:val="clear" w:color="auto" w:fill="auto"/>
            <w:vAlign w:val="bottom"/>
          </w:tcPr>
          <w:p w:rsidR="00BD5DDA" w:rsidRPr="00246DD9" w:rsidRDefault="00BD5DDA" w:rsidP="00BD5DDA">
            <w:pPr>
              <w:pStyle w:val="TableTextRight"/>
            </w:pPr>
          </w:p>
        </w:tc>
      </w:tr>
      <w:tr w:rsidR="003979CD" w:rsidRPr="00246DD9" w:rsidTr="003979CD">
        <w:trPr>
          <w:cantSplit/>
        </w:trPr>
        <w:tc>
          <w:tcPr>
            <w:tcW w:w="6774" w:type="dxa"/>
            <w:tcBorders>
              <w:bottom w:val="nil"/>
            </w:tcBorders>
            <w:vAlign w:val="bottom"/>
          </w:tcPr>
          <w:p w:rsidR="003979CD" w:rsidRPr="009547C0" w:rsidRDefault="003979CD" w:rsidP="003979CD">
            <w:pPr>
              <w:pStyle w:val="Tabletextindent"/>
              <w:ind w:left="0"/>
            </w:pPr>
            <w:r w:rsidRPr="009547C0">
              <w:t xml:space="preserve">Public </w:t>
            </w:r>
            <w:r>
              <w:t>h</w:t>
            </w:r>
            <w:r w:rsidRPr="009547C0">
              <w:t>ousing</w:t>
            </w:r>
          </w:p>
        </w:tc>
        <w:tc>
          <w:tcPr>
            <w:tcW w:w="1470" w:type="dxa"/>
            <w:tcBorders>
              <w:bottom w:val="nil"/>
            </w:tcBorders>
            <w:vAlign w:val="bottom"/>
          </w:tcPr>
          <w:p w:rsidR="003979CD" w:rsidRPr="00246DD9" w:rsidRDefault="003979CD" w:rsidP="003979CD">
            <w:pPr>
              <w:pStyle w:val="TableTextRight"/>
            </w:pPr>
          </w:p>
        </w:tc>
        <w:tc>
          <w:tcPr>
            <w:tcW w:w="1540" w:type="dxa"/>
            <w:tcBorders>
              <w:bottom w:val="nil"/>
            </w:tcBorders>
            <w:shd w:val="clear" w:color="auto" w:fill="auto"/>
            <w:vAlign w:val="bottom"/>
          </w:tcPr>
          <w:p w:rsidR="003979CD" w:rsidRPr="00246DD9" w:rsidRDefault="003979CD" w:rsidP="003979CD">
            <w:pPr>
              <w:pStyle w:val="TableTextRight"/>
            </w:pPr>
          </w:p>
        </w:tc>
      </w:tr>
      <w:tr w:rsidR="003979CD" w:rsidRPr="00246DD9" w:rsidTr="003979CD">
        <w:trPr>
          <w:cantSplit/>
        </w:trPr>
        <w:tc>
          <w:tcPr>
            <w:tcW w:w="6774" w:type="dxa"/>
            <w:tcBorders>
              <w:top w:val="nil"/>
            </w:tcBorders>
            <w:vAlign w:val="bottom"/>
          </w:tcPr>
          <w:p w:rsidR="003979CD" w:rsidRPr="007A456C" w:rsidRDefault="003979CD" w:rsidP="003979CD">
            <w:pPr>
              <w:pStyle w:val="NoteIndent"/>
              <w:numPr>
                <w:ilvl w:val="0"/>
                <w:numId w:val="0"/>
              </w:numPr>
              <w:rPr>
                <w:i/>
              </w:rPr>
            </w:pPr>
            <w:r w:rsidRPr="007A456C">
              <w:rPr>
                <w:i/>
              </w:rPr>
              <w:t>This service standard is based on a biennial survey, with the next survey to be undertaken in 2018–19. The overall client satisfaction in 2016–17 was 85.8% for public housing</w:t>
            </w:r>
            <w:r>
              <w:rPr>
                <w:i/>
              </w:rPr>
              <w:t>.</w:t>
            </w:r>
          </w:p>
        </w:tc>
        <w:tc>
          <w:tcPr>
            <w:tcW w:w="1470" w:type="dxa"/>
            <w:tcBorders>
              <w:top w:val="nil"/>
            </w:tcBorders>
            <w:vAlign w:val="bottom"/>
          </w:tcPr>
          <w:p w:rsidR="003979CD" w:rsidRPr="009547C0" w:rsidRDefault="003979CD" w:rsidP="003979CD">
            <w:pPr>
              <w:pStyle w:val="TableTextRight"/>
            </w:pPr>
            <w:r>
              <w:t>N/A</w:t>
            </w:r>
          </w:p>
        </w:tc>
        <w:tc>
          <w:tcPr>
            <w:tcW w:w="1540" w:type="dxa"/>
            <w:tcBorders>
              <w:top w:val="nil"/>
            </w:tcBorders>
            <w:shd w:val="clear" w:color="auto" w:fill="auto"/>
            <w:vAlign w:val="bottom"/>
          </w:tcPr>
          <w:p w:rsidR="003979CD" w:rsidRPr="009547C0" w:rsidRDefault="003979CD" w:rsidP="003979CD">
            <w:pPr>
              <w:pStyle w:val="TableTextRight"/>
            </w:pPr>
            <w:r>
              <w:t>N/A</w:t>
            </w:r>
          </w:p>
        </w:tc>
      </w:tr>
      <w:tr w:rsidR="003979CD" w:rsidRPr="00246DD9" w:rsidTr="003979CD">
        <w:trPr>
          <w:cantSplit/>
        </w:trPr>
        <w:tc>
          <w:tcPr>
            <w:tcW w:w="6774" w:type="dxa"/>
            <w:tcBorders>
              <w:bottom w:val="nil"/>
            </w:tcBorders>
            <w:vAlign w:val="bottom"/>
          </w:tcPr>
          <w:p w:rsidR="003979CD" w:rsidRPr="009547C0" w:rsidRDefault="003979CD" w:rsidP="003979CD">
            <w:pPr>
              <w:pStyle w:val="Tabletextindent"/>
              <w:ind w:left="0"/>
            </w:pPr>
            <w:r w:rsidRPr="009547C0">
              <w:t xml:space="preserve">Community </w:t>
            </w:r>
            <w:r>
              <w:t>h</w:t>
            </w:r>
            <w:r w:rsidRPr="009547C0">
              <w:t>ousing</w:t>
            </w:r>
          </w:p>
        </w:tc>
        <w:tc>
          <w:tcPr>
            <w:tcW w:w="1470" w:type="dxa"/>
            <w:tcBorders>
              <w:bottom w:val="nil"/>
            </w:tcBorders>
          </w:tcPr>
          <w:p w:rsidR="003979CD" w:rsidRDefault="003979CD" w:rsidP="003979CD">
            <w:pPr>
              <w:jc w:val="right"/>
            </w:pPr>
          </w:p>
        </w:tc>
        <w:tc>
          <w:tcPr>
            <w:tcW w:w="1540" w:type="dxa"/>
            <w:tcBorders>
              <w:bottom w:val="nil"/>
            </w:tcBorders>
            <w:shd w:val="clear" w:color="auto" w:fill="auto"/>
          </w:tcPr>
          <w:p w:rsidR="003979CD" w:rsidRDefault="003979CD" w:rsidP="003979CD">
            <w:pPr>
              <w:jc w:val="right"/>
            </w:pPr>
          </w:p>
        </w:tc>
      </w:tr>
      <w:tr w:rsidR="003979CD" w:rsidRPr="00246DD9" w:rsidTr="003979CD">
        <w:trPr>
          <w:cantSplit/>
        </w:trPr>
        <w:tc>
          <w:tcPr>
            <w:tcW w:w="6774" w:type="dxa"/>
            <w:tcBorders>
              <w:top w:val="nil"/>
            </w:tcBorders>
            <w:vAlign w:val="bottom"/>
          </w:tcPr>
          <w:p w:rsidR="003979CD" w:rsidRPr="007A456C" w:rsidRDefault="003979CD" w:rsidP="003979CD">
            <w:pPr>
              <w:pStyle w:val="NoteIndent"/>
              <w:numPr>
                <w:ilvl w:val="0"/>
                <w:numId w:val="0"/>
              </w:numPr>
              <w:rPr>
                <w:i/>
              </w:rPr>
            </w:pPr>
            <w:r w:rsidRPr="007A456C">
              <w:rPr>
                <w:i/>
              </w:rPr>
              <w:t>This service standard is based on a biennial survey, with the next survey to be undertaken in 2018–19. The overall client satisfaction in 2016–17 was 78.3% for community housing.</w:t>
            </w:r>
          </w:p>
        </w:tc>
        <w:tc>
          <w:tcPr>
            <w:tcW w:w="1470" w:type="dxa"/>
            <w:tcBorders>
              <w:top w:val="nil"/>
            </w:tcBorders>
          </w:tcPr>
          <w:p w:rsidR="003979CD" w:rsidRDefault="003979CD" w:rsidP="003979CD">
            <w:pPr>
              <w:jc w:val="right"/>
            </w:pPr>
            <w:r w:rsidRPr="00307AEF">
              <w:t>N/A</w:t>
            </w:r>
          </w:p>
        </w:tc>
        <w:tc>
          <w:tcPr>
            <w:tcW w:w="1540" w:type="dxa"/>
            <w:tcBorders>
              <w:top w:val="nil"/>
            </w:tcBorders>
            <w:shd w:val="clear" w:color="auto" w:fill="auto"/>
          </w:tcPr>
          <w:p w:rsidR="003979CD" w:rsidRDefault="003979CD" w:rsidP="003979CD">
            <w:pPr>
              <w:jc w:val="right"/>
            </w:pPr>
            <w:r w:rsidRPr="00307AEF">
              <w:t>N/A</w:t>
            </w:r>
          </w:p>
        </w:tc>
      </w:tr>
      <w:tr w:rsidR="003979CD" w:rsidRPr="00246DD9" w:rsidTr="003979CD">
        <w:trPr>
          <w:cantSplit/>
        </w:trPr>
        <w:tc>
          <w:tcPr>
            <w:tcW w:w="6774" w:type="dxa"/>
            <w:tcBorders>
              <w:bottom w:val="nil"/>
            </w:tcBorders>
            <w:shd w:val="clear" w:color="auto" w:fill="FFFFFF" w:themeFill="background1"/>
            <w:vAlign w:val="bottom"/>
          </w:tcPr>
          <w:p w:rsidR="003979CD" w:rsidRPr="009547C0" w:rsidRDefault="003979CD" w:rsidP="003979CD">
            <w:pPr>
              <w:pStyle w:val="TableText"/>
            </w:pPr>
            <w:r w:rsidRPr="009547C0">
              <w:t xml:space="preserve">Percentage of new households assisted into </w:t>
            </w:r>
            <w:r>
              <w:t>g</w:t>
            </w:r>
            <w:r w:rsidRPr="009547C0">
              <w:t>overnment-owned and managed social rental housing who were in very high or high need</w:t>
            </w:r>
          </w:p>
        </w:tc>
        <w:tc>
          <w:tcPr>
            <w:tcW w:w="1470" w:type="dxa"/>
            <w:tcBorders>
              <w:bottom w:val="nil"/>
            </w:tcBorders>
            <w:shd w:val="clear" w:color="auto" w:fill="FFFFFF" w:themeFill="background1"/>
            <w:vAlign w:val="bottom"/>
          </w:tcPr>
          <w:p w:rsidR="003979CD" w:rsidRPr="009547C0" w:rsidRDefault="003979CD" w:rsidP="003979CD">
            <w:pPr>
              <w:pStyle w:val="TableTextRight"/>
            </w:pPr>
            <w:r w:rsidRPr="009547C0">
              <w:t>90%</w:t>
            </w:r>
          </w:p>
        </w:tc>
        <w:tc>
          <w:tcPr>
            <w:tcW w:w="1540" w:type="dxa"/>
            <w:tcBorders>
              <w:bottom w:val="nil"/>
            </w:tcBorders>
            <w:shd w:val="clear" w:color="auto" w:fill="auto"/>
            <w:vAlign w:val="bottom"/>
          </w:tcPr>
          <w:p w:rsidR="003979CD" w:rsidRPr="009547C0" w:rsidRDefault="003979CD" w:rsidP="003979CD">
            <w:pPr>
              <w:pStyle w:val="TableTextRight"/>
            </w:pPr>
            <w:r w:rsidRPr="009547C0">
              <w:t>9</w:t>
            </w:r>
            <w:r>
              <w:t>3</w:t>
            </w:r>
            <w:r w:rsidRPr="009547C0">
              <w:t>%</w:t>
            </w:r>
          </w:p>
        </w:tc>
      </w:tr>
      <w:tr w:rsidR="003979CD" w:rsidRPr="00246DD9" w:rsidTr="003979CD">
        <w:trPr>
          <w:cantSplit/>
        </w:trPr>
        <w:tc>
          <w:tcPr>
            <w:tcW w:w="6774" w:type="dxa"/>
            <w:tcBorders>
              <w:top w:val="nil"/>
            </w:tcBorders>
            <w:shd w:val="clear" w:color="auto" w:fill="FFFFFF" w:themeFill="background1"/>
            <w:vAlign w:val="bottom"/>
          </w:tcPr>
          <w:p w:rsidR="003979CD" w:rsidRPr="007A456C" w:rsidRDefault="003979CD" w:rsidP="003979CD">
            <w:pPr>
              <w:pStyle w:val="NoteIndent"/>
              <w:numPr>
                <w:ilvl w:val="0"/>
                <w:numId w:val="0"/>
              </w:numPr>
              <w:rPr>
                <w:i/>
              </w:rPr>
            </w:pPr>
            <w:r w:rsidRPr="007A456C">
              <w:rPr>
                <w:i/>
              </w:rPr>
              <w:t>Variance between 2017–18 Target/Estimate and 2017–18 Actual is positive and reflects the continued commitment to assist clients in greatest need.</w:t>
            </w:r>
          </w:p>
        </w:tc>
        <w:tc>
          <w:tcPr>
            <w:tcW w:w="1470" w:type="dxa"/>
            <w:tcBorders>
              <w:top w:val="nil"/>
            </w:tcBorders>
            <w:shd w:val="clear" w:color="auto" w:fill="FFFFFF" w:themeFill="background1"/>
            <w:vAlign w:val="bottom"/>
          </w:tcPr>
          <w:p w:rsidR="003979CD" w:rsidRPr="009547C0" w:rsidRDefault="003979CD" w:rsidP="003979CD">
            <w:pPr>
              <w:pStyle w:val="TableTextRight"/>
            </w:pPr>
          </w:p>
        </w:tc>
        <w:tc>
          <w:tcPr>
            <w:tcW w:w="1540" w:type="dxa"/>
            <w:tcBorders>
              <w:top w:val="nil"/>
            </w:tcBorders>
            <w:shd w:val="clear" w:color="auto" w:fill="auto"/>
            <w:vAlign w:val="bottom"/>
          </w:tcPr>
          <w:p w:rsidR="003979CD" w:rsidRPr="009547C0" w:rsidRDefault="003979CD" w:rsidP="003979CD">
            <w:pPr>
              <w:pStyle w:val="TableTextRight"/>
            </w:pPr>
          </w:p>
        </w:tc>
      </w:tr>
      <w:tr w:rsidR="003979CD" w:rsidRPr="00246DD9" w:rsidTr="003979CD">
        <w:trPr>
          <w:cantSplit/>
        </w:trPr>
        <w:tc>
          <w:tcPr>
            <w:tcW w:w="6774" w:type="dxa"/>
            <w:tcBorders>
              <w:bottom w:val="nil"/>
            </w:tcBorders>
            <w:vAlign w:val="bottom"/>
          </w:tcPr>
          <w:p w:rsidR="003979CD" w:rsidRPr="009547C0" w:rsidRDefault="003979CD" w:rsidP="003979CD">
            <w:pPr>
              <w:pStyle w:val="TableText"/>
            </w:pPr>
            <w:r w:rsidRPr="009547C0">
              <w:t>Percentage of department</w:t>
            </w:r>
            <w:r>
              <w:t>-</w:t>
            </w:r>
            <w:r w:rsidRPr="009547C0">
              <w:t>owned social rental housing dwellings in acceptable condition</w:t>
            </w:r>
          </w:p>
        </w:tc>
        <w:tc>
          <w:tcPr>
            <w:tcW w:w="1470" w:type="dxa"/>
            <w:tcBorders>
              <w:bottom w:val="nil"/>
            </w:tcBorders>
            <w:vAlign w:val="bottom"/>
          </w:tcPr>
          <w:p w:rsidR="003979CD" w:rsidRPr="009547C0" w:rsidRDefault="003979CD" w:rsidP="003979CD">
            <w:pPr>
              <w:pStyle w:val="TableTextRight"/>
            </w:pPr>
            <w:r w:rsidRPr="009547C0">
              <w:t>98%</w:t>
            </w:r>
          </w:p>
        </w:tc>
        <w:tc>
          <w:tcPr>
            <w:tcW w:w="1540" w:type="dxa"/>
            <w:tcBorders>
              <w:bottom w:val="nil"/>
            </w:tcBorders>
            <w:shd w:val="clear" w:color="auto" w:fill="auto"/>
            <w:vAlign w:val="bottom"/>
          </w:tcPr>
          <w:p w:rsidR="003979CD" w:rsidRPr="009547C0" w:rsidRDefault="003979CD" w:rsidP="003979CD">
            <w:pPr>
              <w:pStyle w:val="TableTextRight"/>
            </w:pPr>
            <w:r w:rsidRPr="009547C0">
              <w:t>9</w:t>
            </w:r>
            <w:r>
              <w:t>9</w:t>
            </w:r>
            <w:r w:rsidRPr="009547C0">
              <w:t>%</w:t>
            </w:r>
          </w:p>
        </w:tc>
      </w:tr>
      <w:tr w:rsidR="003979CD" w:rsidRPr="00246DD9" w:rsidTr="003979CD">
        <w:trPr>
          <w:cantSplit/>
        </w:trPr>
        <w:tc>
          <w:tcPr>
            <w:tcW w:w="6774" w:type="dxa"/>
            <w:tcBorders>
              <w:top w:val="nil"/>
            </w:tcBorders>
            <w:vAlign w:val="bottom"/>
          </w:tcPr>
          <w:p w:rsidR="003979CD" w:rsidRPr="005B7038" w:rsidRDefault="003979CD" w:rsidP="003979CD">
            <w:pPr>
              <w:pStyle w:val="NoteIndent"/>
              <w:numPr>
                <w:ilvl w:val="0"/>
                <w:numId w:val="0"/>
              </w:numPr>
              <w:rPr>
                <w:i/>
              </w:rPr>
            </w:pPr>
            <w:r w:rsidRPr="599807E0">
              <w:rPr>
                <w:i/>
                <w:iCs/>
              </w:rPr>
              <w:t>This service standard is discontinued in 2018–19 and is replaced by a new measure with the same name, due to a change in data scope applied to the Property Standards Index. 2017–18 Actual is based on the 2017–18 methodology.</w:t>
            </w:r>
          </w:p>
        </w:tc>
        <w:tc>
          <w:tcPr>
            <w:tcW w:w="1470" w:type="dxa"/>
            <w:tcBorders>
              <w:top w:val="nil"/>
            </w:tcBorders>
            <w:vAlign w:val="bottom"/>
          </w:tcPr>
          <w:p w:rsidR="003979CD" w:rsidRPr="009547C0" w:rsidRDefault="003979CD" w:rsidP="003979CD">
            <w:pPr>
              <w:pStyle w:val="TableTextRight"/>
            </w:pPr>
          </w:p>
        </w:tc>
        <w:tc>
          <w:tcPr>
            <w:tcW w:w="1540" w:type="dxa"/>
            <w:tcBorders>
              <w:top w:val="nil"/>
            </w:tcBorders>
            <w:shd w:val="clear" w:color="auto" w:fill="auto"/>
            <w:vAlign w:val="bottom"/>
          </w:tcPr>
          <w:p w:rsidR="003979CD" w:rsidRPr="009547C0" w:rsidRDefault="003979CD" w:rsidP="003979CD">
            <w:pPr>
              <w:pStyle w:val="TableTextRight"/>
            </w:pPr>
          </w:p>
        </w:tc>
      </w:tr>
      <w:tr w:rsidR="003979CD" w:rsidRPr="00246DD9" w:rsidTr="003979CD">
        <w:trPr>
          <w:cantSplit/>
        </w:trPr>
        <w:tc>
          <w:tcPr>
            <w:tcW w:w="6774" w:type="dxa"/>
            <w:tcBorders>
              <w:bottom w:val="nil"/>
            </w:tcBorders>
            <w:vAlign w:val="bottom"/>
          </w:tcPr>
          <w:p w:rsidR="003979CD" w:rsidRPr="009547C0" w:rsidRDefault="003979CD" w:rsidP="003979CD">
            <w:pPr>
              <w:pStyle w:val="TableText"/>
            </w:pPr>
            <w:bookmarkStart w:id="29" w:name="_Hlk524504830"/>
            <w:r w:rsidRPr="009547C0">
              <w:t>Proportion of total new households assisted to remain in or move to the private housing rental market that were assisted through National Rental Affordability Scheme, RentConnect, Rental Grants, Bond Loans, Housing and Employment Program or Queensland Statewide Tenant Advice and Referral Service</w:t>
            </w:r>
          </w:p>
        </w:tc>
        <w:tc>
          <w:tcPr>
            <w:tcW w:w="1470" w:type="dxa"/>
            <w:tcBorders>
              <w:bottom w:val="nil"/>
            </w:tcBorders>
            <w:vAlign w:val="bottom"/>
          </w:tcPr>
          <w:p w:rsidR="003979CD" w:rsidRPr="009547C0" w:rsidRDefault="003979CD" w:rsidP="003979CD">
            <w:pPr>
              <w:pStyle w:val="TableTextRight"/>
            </w:pPr>
            <w:r>
              <w:t>71%</w:t>
            </w:r>
          </w:p>
        </w:tc>
        <w:tc>
          <w:tcPr>
            <w:tcW w:w="1540" w:type="dxa"/>
            <w:tcBorders>
              <w:bottom w:val="nil"/>
            </w:tcBorders>
            <w:shd w:val="clear" w:color="auto" w:fill="auto"/>
            <w:vAlign w:val="bottom"/>
          </w:tcPr>
          <w:p w:rsidR="003979CD" w:rsidRPr="009547C0" w:rsidRDefault="003979CD" w:rsidP="003979CD">
            <w:pPr>
              <w:pStyle w:val="TableTextRight"/>
            </w:pPr>
            <w:r>
              <w:t>82%</w:t>
            </w:r>
          </w:p>
        </w:tc>
      </w:tr>
      <w:tr w:rsidR="003979CD" w:rsidRPr="00246DD9" w:rsidTr="003979CD">
        <w:trPr>
          <w:cantSplit/>
        </w:trPr>
        <w:tc>
          <w:tcPr>
            <w:tcW w:w="6774" w:type="dxa"/>
            <w:tcBorders>
              <w:top w:val="nil"/>
            </w:tcBorders>
            <w:vAlign w:val="bottom"/>
          </w:tcPr>
          <w:p w:rsidR="003979CD" w:rsidRPr="00371863" w:rsidRDefault="003979CD" w:rsidP="003979CD">
            <w:pPr>
              <w:pStyle w:val="NoteIndent"/>
              <w:numPr>
                <w:ilvl w:val="0"/>
                <w:numId w:val="0"/>
              </w:numPr>
              <w:rPr>
                <w:i/>
              </w:rPr>
            </w:pPr>
            <w:r w:rsidRPr="00021639">
              <w:rPr>
                <w:i/>
              </w:rPr>
              <w:t>This service standard is being discontinued in 2018–19 due to the inclusion of a new replacement measure, ‘Proportion of total new households assisted to access rental accommodation who moved into the private rental market’, which better reflects the use of products and services as an alternative solution to social rental housing.</w:t>
            </w:r>
          </w:p>
        </w:tc>
        <w:tc>
          <w:tcPr>
            <w:tcW w:w="1470" w:type="dxa"/>
            <w:tcBorders>
              <w:top w:val="nil"/>
            </w:tcBorders>
            <w:vAlign w:val="bottom"/>
          </w:tcPr>
          <w:p w:rsidR="003979CD" w:rsidRDefault="003979CD" w:rsidP="003979CD">
            <w:pPr>
              <w:pStyle w:val="TableTextRight"/>
            </w:pPr>
          </w:p>
        </w:tc>
        <w:tc>
          <w:tcPr>
            <w:tcW w:w="1540" w:type="dxa"/>
            <w:tcBorders>
              <w:top w:val="nil"/>
            </w:tcBorders>
            <w:shd w:val="clear" w:color="auto" w:fill="auto"/>
            <w:vAlign w:val="bottom"/>
          </w:tcPr>
          <w:p w:rsidR="003979CD" w:rsidRPr="009547C0" w:rsidRDefault="003979CD" w:rsidP="003979CD">
            <w:pPr>
              <w:pStyle w:val="TableTextRight"/>
            </w:pPr>
          </w:p>
        </w:tc>
      </w:tr>
      <w:bookmarkEnd w:id="29"/>
      <w:tr w:rsidR="003979CD" w:rsidRPr="00246DD9" w:rsidTr="003979CD">
        <w:trPr>
          <w:cantSplit/>
        </w:trPr>
        <w:tc>
          <w:tcPr>
            <w:tcW w:w="6774" w:type="dxa"/>
            <w:tcBorders>
              <w:bottom w:val="nil"/>
            </w:tcBorders>
            <w:vAlign w:val="bottom"/>
          </w:tcPr>
          <w:p w:rsidR="003979CD" w:rsidRPr="009547C0" w:rsidRDefault="003979CD" w:rsidP="003979CD">
            <w:pPr>
              <w:pStyle w:val="TableText"/>
            </w:pPr>
            <w:r w:rsidRPr="009547C0">
              <w:t>Proportion of newly constructed social housing dwellings meeting the Liv</w:t>
            </w:r>
            <w:r>
              <w:t>able</w:t>
            </w:r>
            <w:r w:rsidRPr="009547C0">
              <w:t xml:space="preserve"> Housing Design guidelines gold or platinum standards</w:t>
            </w:r>
          </w:p>
        </w:tc>
        <w:tc>
          <w:tcPr>
            <w:tcW w:w="1470" w:type="dxa"/>
            <w:tcBorders>
              <w:bottom w:val="nil"/>
            </w:tcBorders>
            <w:vAlign w:val="bottom"/>
          </w:tcPr>
          <w:p w:rsidR="003979CD" w:rsidRPr="009547C0" w:rsidRDefault="003979CD" w:rsidP="003979CD">
            <w:pPr>
              <w:pStyle w:val="TableTextRight"/>
            </w:pPr>
            <w:r>
              <w:t>50%</w:t>
            </w:r>
          </w:p>
        </w:tc>
        <w:tc>
          <w:tcPr>
            <w:tcW w:w="1540" w:type="dxa"/>
            <w:tcBorders>
              <w:bottom w:val="nil"/>
            </w:tcBorders>
            <w:shd w:val="clear" w:color="auto" w:fill="auto"/>
            <w:vAlign w:val="bottom"/>
          </w:tcPr>
          <w:p w:rsidR="003979CD" w:rsidRPr="009547C0" w:rsidRDefault="003979CD" w:rsidP="003979CD">
            <w:pPr>
              <w:pStyle w:val="TableTextRight"/>
            </w:pPr>
            <w:r>
              <w:t>82</w:t>
            </w:r>
            <w:r w:rsidRPr="009547C0">
              <w:t>%</w:t>
            </w:r>
          </w:p>
        </w:tc>
      </w:tr>
      <w:tr w:rsidR="003979CD" w:rsidRPr="00246DD9" w:rsidTr="003979CD">
        <w:trPr>
          <w:cantSplit/>
        </w:trPr>
        <w:tc>
          <w:tcPr>
            <w:tcW w:w="6774" w:type="dxa"/>
            <w:tcBorders>
              <w:top w:val="nil"/>
            </w:tcBorders>
            <w:vAlign w:val="bottom"/>
          </w:tcPr>
          <w:p w:rsidR="003979CD" w:rsidRPr="005B7038" w:rsidRDefault="003979CD" w:rsidP="003979CD">
            <w:pPr>
              <w:pStyle w:val="NoteIndent"/>
              <w:numPr>
                <w:ilvl w:val="0"/>
                <w:numId w:val="0"/>
              </w:numPr>
              <w:rPr>
                <w:i/>
              </w:rPr>
            </w:pPr>
            <w:r w:rsidRPr="00827752">
              <w:rPr>
                <w:i/>
                <w:iCs/>
              </w:rPr>
              <w:t>Variances between 2017–18 Target and 2017–18 Actual is due to the adoption of an innovative design approach. Several two-storey projects in the 2017–18 program have had lifts incorporated (where traditionally lifts have only been included on projects of three or more storeys). For these projects, 100% of apartments met the Livable Housing Design Guidelines.</w:t>
            </w:r>
          </w:p>
        </w:tc>
        <w:tc>
          <w:tcPr>
            <w:tcW w:w="1470" w:type="dxa"/>
            <w:tcBorders>
              <w:top w:val="nil"/>
            </w:tcBorders>
            <w:vAlign w:val="bottom"/>
          </w:tcPr>
          <w:p w:rsidR="003979CD" w:rsidRPr="009547C0" w:rsidRDefault="003979CD" w:rsidP="003979CD">
            <w:pPr>
              <w:pStyle w:val="TableTextRight"/>
            </w:pPr>
          </w:p>
        </w:tc>
        <w:tc>
          <w:tcPr>
            <w:tcW w:w="1540" w:type="dxa"/>
            <w:tcBorders>
              <w:top w:val="nil"/>
            </w:tcBorders>
            <w:shd w:val="clear" w:color="auto" w:fill="auto"/>
            <w:vAlign w:val="bottom"/>
          </w:tcPr>
          <w:p w:rsidR="003979CD" w:rsidRPr="009547C0" w:rsidRDefault="003979CD" w:rsidP="003979CD">
            <w:pPr>
              <w:pStyle w:val="TableTextRight"/>
            </w:pPr>
          </w:p>
        </w:tc>
      </w:tr>
      <w:tr w:rsidR="003979CD" w:rsidRPr="00246DD9" w:rsidTr="003979CD">
        <w:trPr>
          <w:cantSplit/>
        </w:trPr>
        <w:tc>
          <w:tcPr>
            <w:tcW w:w="6774" w:type="dxa"/>
            <w:tcBorders>
              <w:bottom w:val="nil"/>
            </w:tcBorders>
            <w:vAlign w:val="bottom"/>
          </w:tcPr>
          <w:p w:rsidR="003979CD" w:rsidRPr="009547C0" w:rsidRDefault="003979CD" w:rsidP="003979CD">
            <w:pPr>
              <w:pStyle w:val="TableText"/>
            </w:pPr>
            <w:r w:rsidRPr="009547C0">
              <w:t xml:space="preserve">Average wait time to allocation for assistance (months) with </w:t>
            </w:r>
            <w:r>
              <w:t>g</w:t>
            </w:r>
            <w:r w:rsidRPr="009547C0">
              <w:t>overnment-owned and managed social rental housing for clients in very high or high need</w:t>
            </w:r>
          </w:p>
        </w:tc>
        <w:tc>
          <w:tcPr>
            <w:tcW w:w="1470" w:type="dxa"/>
            <w:tcBorders>
              <w:bottom w:val="nil"/>
            </w:tcBorders>
            <w:vAlign w:val="bottom"/>
          </w:tcPr>
          <w:p w:rsidR="003979CD" w:rsidRPr="009547C0" w:rsidRDefault="003979CD" w:rsidP="003979CD">
            <w:pPr>
              <w:pStyle w:val="TableTextRight"/>
            </w:pPr>
            <w:r w:rsidRPr="009547C0">
              <w:t>8</w:t>
            </w:r>
          </w:p>
        </w:tc>
        <w:tc>
          <w:tcPr>
            <w:tcW w:w="1540" w:type="dxa"/>
            <w:tcBorders>
              <w:bottom w:val="nil"/>
            </w:tcBorders>
            <w:shd w:val="clear" w:color="auto" w:fill="auto"/>
            <w:vAlign w:val="bottom"/>
          </w:tcPr>
          <w:p w:rsidR="003979CD" w:rsidRPr="009547C0" w:rsidRDefault="003979CD" w:rsidP="003979CD">
            <w:pPr>
              <w:pStyle w:val="TableTextRight"/>
            </w:pPr>
            <w:r w:rsidRPr="009547C0">
              <w:t>7</w:t>
            </w:r>
          </w:p>
        </w:tc>
      </w:tr>
      <w:tr w:rsidR="003979CD" w:rsidRPr="00246DD9" w:rsidTr="003979CD">
        <w:trPr>
          <w:cantSplit/>
        </w:trPr>
        <w:tc>
          <w:tcPr>
            <w:tcW w:w="6774" w:type="dxa"/>
            <w:tcBorders>
              <w:bottom w:val="single" w:sz="4" w:space="0" w:color="000000" w:themeColor="text1"/>
            </w:tcBorders>
            <w:vAlign w:val="bottom"/>
          </w:tcPr>
          <w:p w:rsidR="003979CD" w:rsidRPr="009547C0" w:rsidRDefault="003979CD" w:rsidP="003979CD">
            <w:pPr>
              <w:pStyle w:val="TableText"/>
            </w:pPr>
            <w:r w:rsidRPr="009547C0">
              <w:t xml:space="preserve">Percentage of under occupied </w:t>
            </w:r>
            <w:r>
              <w:t>g</w:t>
            </w:r>
            <w:r w:rsidRPr="009547C0">
              <w:t>overnment-owned and managed social rental housing</w:t>
            </w:r>
          </w:p>
        </w:tc>
        <w:tc>
          <w:tcPr>
            <w:tcW w:w="1470" w:type="dxa"/>
            <w:tcBorders>
              <w:bottom w:val="single" w:sz="4" w:space="0" w:color="000000" w:themeColor="text1"/>
            </w:tcBorders>
            <w:vAlign w:val="bottom"/>
          </w:tcPr>
          <w:p w:rsidR="003979CD" w:rsidRPr="009547C0" w:rsidRDefault="003979CD" w:rsidP="003979CD">
            <w:pPr>
              <w:pStyle w:val="TableTextRight"/>
            </w:pPr>
            <w:r w:rsidRPr="009547C0">
              <w:t>15%</w:t>
            </w:r>
          </w:p>
        </w:tc>
        <w:tc>
          <w:tcPr>
            <w:tcW w:w="1540" w:type="dxa"/>
            <w:tcBorders>
              <w:bottom w:val="single" w:sz="4" w:space="0" w:color="000000" w:themeColor="text1"/>
            </w:tcBorders>
            <w:shd w:val="clear" w:color="auto" w:fill="auto"/>
            <w:vAlign w:val="bottom"/>
          </w:tcPr>
          <w:p w:rsidR="003979CD" w:rsidRPr="009547C0" w:rsidRDefault="003979CD" w:rsidP="003979CD">
            <w:pPr>
              <w:pStyle w:val="TableTextRight"/>
            </w:pPr>
            <w:r>
              <w:t>16</w:t>
            </w:r>
            <w:r w:rsidRPr="009547C0">
              <w:t>%</w:t>
            </w:r>
          </w:p>
        </w:tc>
      </w:tr>
      <w:tr w:rsidR="003979CD" w:rsidRPr="00246DD9" w:rsidTr="003979CD">
        <w:trPr>
          <w:cantSplit/>
        </w:trPr>
        <w:tc>
          <w:tcPr>
            <w:tcW w:w="6774" w:type="dxa"/>
            <w:tcBorders>
              <w:bottom w:val="single" w:sz="4" w:space="0" w:color="auto"/>
            </w:tcBorders>
            <w:vAlign w:val="bottom"/>
          </w:tcPr>
          <w:p w:rsidR="003979CD" w:rsidRPr="009547C0" w:rsidRDefault="003979CD" w:rsidP="003979CD">
            <w:pPr>
              <w:pStyle w:val="TableText"/>
            </w:pPr>
            <w:r w:rsidRPr="009547C0">
              <w:t>Proportion of government-owned social rental housing stock matched to greatest demand</w:t>
            </w:r>
          </w:p>
        </w:tc>
        <w:tc>
          <w:tcPr>
            <w:tcW w:w="1470" w:type="dxa"/>
            <w:tcBorders>
              <w:bottom w:val="single" w:sz="4" w:space="0" w:color="auto"/>
            </w:tcBorders>
            <w:vAlign w:val="bottom"/>
          </w:tcPr>
          <w:p w:rsidR="003979CD" w:rsidRPr="009547C0" w:rsidRDefault="003979CD" w:rsidP="003979CD">
            <w:pPr>
              <w:pStyle w:val="TableTextRight"/>
            </w:pPr>
            <w:r w:rsidRPr="009547C0">
              <w:t>54%</w:t>
            </w:r>
          </w:p>
        </w:tc>
        <w:tc>
          <w:tcPr>
            <w:tcW w:w="1540" w:type="dxa"/>
            <w:tcBorders>
              <w:bottom w:val="single" w:sz="4" w:space="0" w:color="auto"/>
            </w:tcBorders>
            <w:shd w:val="clear" w:color="auto" w:fill="auto"/>
            <w:vAlign w:val="bottom"/>
          </w:tcPr>
          <w:p w:rsidR="003979CD" w:rsidRPr="009547C0" w:rsidRDefault="003979CD" w:rsidP="003979CD">
            <w:pPr>
              <w:pStyle w:val="TableTextRight"/>
            </w:pPr>
            <w:r w:rsidRPr="009547C0">
              <w:t>54%</w:t>
            </w:r>
          </w:p>
        </w:tc>
      </w:tr>
      <w:tr w:rsidR="003979CD" w:rsidRPr="00E80CF2" w:rsidTr="003979CD">
        <w:trPr>
          <w:cantSplit/>
        </w:trPr>
        <w:tc>
          <w:tcPr>
            <w:tcW w:w="6774" w:type="dxa"/>
            <w:tcBorders>
              <w:top w:val="single" w:sz="4" w:space="0" w:color="auto"/>
            </w:tcBorders>
            <w:shd w:val="clear" w:color="auto" w:fill="D9D9D9" w:themeFill="background1" w:themeFillShade="D9"/>
            <w:vAlign w:val="bottom"/>
          </w:tcPr>
          <w:p w:rsidR="003979CD" w:rsidRPr="008404C2" w:rsidRDefault="003979CD" w:rsidP="003979CD">
            <w:pPr>
              <w:pStyle w:val="TableTextItalics"/>
              <w:rPr>
                <w:b/>
                <w:bCs/>
              </w:rPr>
            </w:pPr>
            <w:r w:rsidRPr="003111AC">
              <w:rPr>
                <w:b/>
                <w:bCs/>
              </w:rPr>
              <w:lastRenderedPageBreak/>
              <w:t>Efficiency measure</w:t>
            </w:r>
            <w:r>
              <w:rPr>
                <w:b/>
                <w:bCs/>
              </w:rPr>
              <w:t>s</w:t>
            </w:r>
          </w:p>
        </w:tc>
        <w:tc>
          <w:tcPr>
            <w:tcW w:w="1470" w:type="dxa"/>
            <w:tcBorders>
              <w:top w:val="single" w:sz="4" w:space="0" w:color="auto"/>
            </w:tcBorders>
            <w:shd w:val="clear" w:color="auto" w:fill="D9D9D9" w:themeFill="background1" w:themeFillShade="D9"/>
            <w:vAlign w:val="bottom"/>
          </w:tcPr>
          <w:p w:rsidR="003979CD" w:rsidRPr="00E80CF2" w:rsidRDefault="003979CD" w:rsidP="003979CD">
            <w:pPr>
              <w:pStyle w:val="TableTextRight"/>
              <w:rPr>
                <w:b/>
              </w:rPr>
            </w:pPr>
          </w:p>
        </w:tc>
        <w:tc>
          <w:tcPr>
            <w:tcW w:w="1540" w:type="dxa"/>
            <w:tcBorders>
              <w:top w:val="single" w:sz="4" w:space="0" w:color="auto"/>
            </w:tcBorders>
            <w:shd w:val="clear" w:color="auto" w:fill="D9D9D9" w:themeFill="background1" w:themeFillShade="D9"/>
            <w:vAlign w:val="bottom"/>
          </w:tcPr>
          <w:p w:rsidR="003979CD" w:rsidRPr="00E80CF2" w:rsidRDefault="003979CD" w:rsidP="003979CD">
            <w:pPr>
              <w:pStyle w:val="TableTextRight"/>
              <w:rPr>
                <w:b/>
              </w:rPr>
            </w:pPr>
          </w:p>
        </w:tc>
      </w:tr>
      <w:tr w:rsidR="003979CD" w:rsidRPr="00246DD9" w:rsidTr="003979CD">
        <w:trPr>
          <w:cantSplit/>
        </w:trPr>
        <w:tc>
          <w:tcPr>
            <w:tcW w:w="6774" w:type="dxa"/>
            <w:tcBorders>
              <w:bottom w:val="nil"/>
            </w:tcBorders>
            <w:vAlign w:val="bottom"/>
            <w:hideMark/>
          </w:tcPr>
          <w:p w:rsidR="003979CD" w:rsidRPr="009547C0" w:rsidRDefault="003979CD" w:rsidP="003979CD">
            <w:pPr>
              <w:pStyle w:val="TableText"/>
            </w:pPr>
            <w:r w:rsidRPr="009547C0">
              <w:t>Average tenancy and property management administration cost per household assisted with social rental housing</w:t>
            </w:r>
          </w:p>
        </w:tc>
        <w:tc>
          <w:tcPr>
            <w:tcW w:w="1470" w:type="dxa"/>
            <w:tcBorders>
              <w:bottom w:val="nil"/>
            </w:tcBorders>
            <w:vAlign w:val="bottom"/>
          </w:tcPr>
          <w:p w:rsidR="003979CD" w:rsidRPr="009547C0" w:rsidRDefault="003979CD" w:rsidP="003979CD">
            <w:pPr>
              <w:pStyle w:val="TableTextRight"/>
            </w:pPr>
            <w:r w:rsidRPr="00C74634">
              <w:t>$</w:t>
            </w:r>
            <w:r>
              <w:t>1,220</w:t>
            </w:r>
          </w:p>
        </w:tc>
        <w:tc>
          <w:tcPr>
            <w:tcW w:w="1540" w:type="dxa"/>
            <w:tcBorders>
              <w:bottom w:val="nil"/>
            </w:tcBorders>
            <w:shd w:val="clear" w:color="auto" w:fill="auto"/>
            <w:vAlign w:val="bottom"/>
          </w:tcPr>
          <w:p w:rsidR="003979CD" w:rsidRPr="009547C0" w:rsidRDefault="003979CD" w:rsidP="003979CD">
            <w:pPr>
              <w:pStyle w:val="TableTextRight"/>
            </w:pPr>
            <w:r w:rsidRPr="00C74634">
              <w:t>$1,</w:t>
            </w:r>
            <w:r>
              <w:t>115</w:t>
            </w:r>
          </w:p>
        </w:tc>
      </w:tr>
      <w:tr w:rsidR="003979CD" w:rsidRPr="00246DD9" w:rsidTr="003979CD">
        <w:trPr>
          <w:cantSplit/>
        </w:trPr>
        <w:tc>
          <w:tcPr>
            <w:tcW w:w="6774" w:type="dxa"/>
            <w:tcBorders>
              <w:top w:val="nil"/>
            </w:tcBorders>
            <w:shd w:val="clear" w:color="auto" w:fill="auto"/>
            <w:vAlign w:val="bottom"/>
          </w:tcPr>
          <w:p w:rsidR="003979CD" w:rsidRPr="00246DD9" w:rsidRDefault="003979CD" w:rsidP="003979CD">
            <w:pPr>
              <w:pStyle w:val="NoteIndent"/>
              <w:numPr>
                <w:ilvl w:val="0"/>
                <w:numId w:val="0"/>
              </w:numPr>
            </w:pPr>
            <w:r w:rsidRPr="00827752">
              <w:rPr>
                <w:i/>
                <w:iCs/>
              </w:rPr>
              <w:t>This service standard is discontinued in 2018–19 and is replaced by a new measure with the same name, due to an ICT system change which allowed tenancy and property management costs to be assessed more accurately. 2017–18 Actual is based on the new methodology.</w:t>
            </w:r>
          </w:p>
        </w:tc>
        <w:tc>
          <w:tcPr>
            <w:tcW w:w="1470" w:type="dxa"/>
            <w:tcBorders>
              <w:top w:val="nil"/>
            </w:tcBorders>
            <w:vAlign w:val="bottom"/>
          </w:tcPr>
          <w:p w:rsidR="003979CD" w:rsidRPr="00246DD9" w:rsidRDefault="003979CD" w:rsidP="003979CD">
            <w:pPr>
              <w:pStyle w:val="TableText"/>
            </w:pPr>
          </w:p>
        </w:tc>
        <w:tc>
          <w:tcPr>
            <w:tcW w:w="1540" w:type="dxa"/>
            <w:tcBorders>
              <w:top w:val="nil"/>
            </w:tcBorders>
            <w:shd w:val="clear" w:color="auto" w:fill="auto"/>
            <w:vAlign w:val="bottom"/>
          </w:tcPr>
          <w:p w:rsidR="003979CD" w:rsidRPr="00246DD9" w:rsidRDefault="003979CD" w:rsidP="003979CD">
            <w:pPr>
              <w:pStyle w:val="TableText"/>
            </w:pPr>
          </w:p>
        </w:tc>
      </w:tr>
      <w:tr w:rsidR="003979CD" w:rsidRPr="00E80CF2" w:rsidTr="003979CD">
        <w:trPr>
          <w:cantSplit/>
        </w:trPr>
        <w:tc>
          <w:tcPr>
            <w:tcW w:w="6774" w:type="dxa"/>
            <w:shd w:val="clear" w:color="auto" w:fill="808080" w:themeFill="text1" w:themeFillTint="7F"/>
            <w:vAlign w:val="bottom"/>
          </w:tcPr>
          <w:p w:rsidR="003979CD" w:rsidRPr="00E80CF2" w:rsidRDefault="003979CD" w:rsidP="003979CD">
            <w:pPr>
              <w:pStyle w:val="TableTextBold"/>
              <w:rPr>
                <w:color w:val="FFFFFF" w:themeColor="background1"/>
              </w:rPr>
            </w:pPr>
            <w:r w:rsidRPr="11284B68">
              <w:rPr>
                <w:color w:val="FFFFFF" w:themeColor="background1"/>
              </w:rPr>
              <w:t>Service: Homelessness services</w:t>
            </w:r>
          </w:p>
        </w:tc>
        <w:tc>
          <w:tcPr>
            <w:tcW w:w="1470" w:type="dxa"/>
            <w:shd w:val="clear" w:color="auto" w:fill="808080" w:themeFill="text1" w:themeFillTint="7F"/>
            <w:vAlign w:val="bottom"/>
          </w:tcPr>
          <w:p w:rsidR="003979CD" w:rsidRPr="00E80CF2" w:rsidRDefault="003979CD" w:rsidP="003979CD">
            <w:pPr>
              <w:pStyle w:val="TableText"/>
              <w:rPr>
                <w:color w:val="FFFFFF" w:themeColor="background1"/>
              </w:rPr>
            </w:pPr>
          </w:p>
        </w:tc>
        <w:tc>
          <w:tcPr>
            <w:tcW w:w="1540" w:type="dxa"/>
            <w:shd w:val="clear" w:color="auto" w:fill="808080" w:themeFill="text1" w:themeFillTint="7F"/>
            <w:vAlign w:val="bottom"/>
          </w:tcPr>
          <w:p w:rsidR="003979CD" w:rsidRPr="00E80CF2" w:rsidRDefault="003979CD" w:rsidP="003979CD">
            <w:pPr>
              <w:pStyle w:val="TableText"/>
              <w:rPr>
                <w:color w:val="FFFFFF" w:themeColor="background1"/>
              </w:rPr>
            </w:pPr>
          </w:p>
        </w:tc>
      </w:tr>
      <w:tr w:rsidR="003979CD" w:rsidRPr="00E80CF2" w:rsidTr="003979CD">
        <w:trPr>
          <w:cantSplit/>
        </w:trPr>
        <w:tc>
          <w:tcPr>
            <w:tcW w:w="6774" w:type="dxa"/>
            <w:shd w:val="clear" w:color="auto" w:fill="D9D9D9" w:themeFill="background1" w:themeFillShade="D9"/>
            <w:vAlign w:val="bottom"/>
          </w:tcPr>
          <w:p w:rsidR="003979CD" w:rsidRPr="008404C2" w:rsidRDefault="003979CD" w:rsidP="003979CD">
            <w:pPr>
              <w:pStyle w:val="TableTextItalics"/>
              <w:rPr>
                <w:b/>
                <w:bCs/>
              </w:rPr>
            </w:pPr>
            <w:r w:rsidRPr="003111AC">
              <w:rPr>
                <w:b/>
                <w:bCs/>
              </w:rPr>
              <w:t>Effectiveness measures</w:t>
            </w:r>
          </w:p>
        </w:tc>
        <w:tc>
          <w:tcPr>
            <w:tcW w:w="1470" w:type="dxa"/>
            <w:shd w:val="clear" w:color="auto" w:fill="D9D9D9" w:themeFill="background1" w:themeFillShade="D9"/>
            <w:vAlign w:val="bottom"/>
          </w:tcPr>
          <w:p w:rsidR="003979CD" w:rsidRPr="00E80CF2" w:rsidRDefault="003979CD" w:rsidP="003979CD">
            <w:pPr>
              <w:pStyle w:val="TableTextRight"/>
              <w:rPr>
                <w:b/>
              </w:rPr>
            </w:pPr>
          </w:p>
        </w:tc>
        <w:tc>
          <w:tcPr>
            <w:tcW w:w="1540" w:type="dxa"/>
            <w:shd w:val="clear" w:color="auto" w:fill="D9D9D9" w:themeFill="background1" w:themeFillShade="D9"/>
            <w:vAlign w:val="bottom"/>
          </w:tcPr>
          <w:p w:rsidR="003979CD" w:rsidRPr="00E80CF2" w:rsidRDefault="003979CD" w:rsidP="003979CD">
            <w:pPr>
              <w:pStyle w:val="TableTextRight"/>
              <w:rPr>
                <w:b/>
              </w:rPr>
            </w:pPr>
          </w:p>
        </w:tc>
      </w:tr>
      <w:tr w:rsidR="003979CD" w:rsidRPr="00246DD9" w:rsidTr="003979CD">
        <w:trPr>
          <w:cantSplit/>
        </w:trPr>
        <w:tc>
          <w:tcPr>
            <w:tcW w:w="6774" w:type="dxa"/>
            <w:tcBorders>
              <w:bottom w:val="nil"/>
            </w:tcBorders>
            <w:vAlign w:val="bottom"/>
            <w:hideMark/>
          </w:tcPr>
          <w:p w:rsidR="003979CD" w:rsidRPr="009547C0" w:rsidRDefault="003979CD" w:rsidP="003979CD">
            <w:pPr>
              <w:pStyle w:val="TableText"/>
            </w:pPr>
            <w:r w:rsidRPr="009547C0">
              <w:t>Percentage of clients who were homeless or at risk of homelessness who needed assistance to obtain or maintain independent housing and obtained or maintained independent housing after support</w:t>
            </w:r>
          </w:p>
        </w:tc>
        <w:tc>
          <w:tcPr>
            <w:tcW w:w="1470" w:type="dxa"/>
            <w:tcBorders>
              <w:bottom w:val="nil"/>
            </w:tcBorders>
            <w:vAlign w:val="bottom"/>
          </w:tcPr>
          <w:p w:rsidR="003979CD" w:rsidRPr="009547C0" w:rsidRDefault="003979CD" w:rsidP="003979CD">
            <w:pPr>
              <w:pStyle w:val="TableTextRight"/>
            </w:pPr>
            <w:r w:rsidRPr="009547C0">
              <w:t>66%</w:t>
            </w:r>
          </w:p>
        </w:tc>
        <w:tc>
          <w:tcPr>
            <w:tcW w:w="1540" w:type="dxa"/>
            <w:tcBorders>
              <w:bottom w:val="nil"/>
            </w:tcBorders>
            <w:shd w:val="clear" w:color="auto" w:fill="auto"/>
            <w:vAlign w:val="bottom"/>
          </w:tcPr>
          <w:p w:rsidR="003979CD" w:rsidRPr="009547C0" w:rsidRDefault="003979CD" w:rsidP="003979CD">
            <w:pPr>
              <w:pStyle w:val="TableTextRight"/>
            </w:pPr>
            <w:r w:rsidRPr="009547C0">
              <w:t>67%</w:t>
            </w:r>
          </w:p>
        </w:tc>
      </w:tr>
      <w:tr w:rsidR="003979CD" w:rsidRPr="00246DD9" w:rsidTr="003979CD">
        <w:trPr>
          <w:cantSplit/>
        </w:trPr>
        <w:tc>
          <w:tcPr>
            <w:tcW w:w="6774" w:type="dxa"/>
            <w:tcBorders>
              <w:bottom w:val="nil"/>
            </w:tcBorders>
            <w:vAlign w:val="bottom"/>
            <w:hideMark/>
          </w:tcPr>
          <w:p w:rsidR="003979CD" w:rsidRPr="009547C0" w:rsidRDefault="003979CD" w:rsidP="003979CD">
            <w:pPr>
              <w:pStyle w:val="TableText"/>
            </w:pPr>
            <w:r w:rsidRPr="009547C0">
              <w:t>Percentage of homelessness services clients who requested assistance relating to domestic and family violence and received this assistance</w:t>
            </w:r>
          </w:p>
        </w:tc>
        <w:tc>
          <w:tcPr>
            <w:tcW w:w="1470" w:type="dxa"/>
            <w:tcBorders>
              <w:bottom w:val="nil"/>
            </w:tcBorders>
            <w:vAlign w:val="bottom"/>
          </w:tcPr>
          <w:p w:rsidR="003979CD" w:rsidRPr="009547C0" w:rsidRDefault="003979CD" w:rsidP="003979CD">
            <w:pPr>
              <w:pStyle w:val="TableTextRight"/>
            </w:pPr>
            <w:r w:rsidRPr="009547C0">
              <w:t>87%</w:t>
            </w:r>
          </w:p>
        </w:tc>
        <w:tc>
          <w:tcPr>
            <w:tcW w:w="1540" w:type="dxa"/>
            <w:tcBorders>
              <w:bottom w:val="nil"/>
            </w:tcBorders>
            <w:shd w:val="clear" w:color="auto" w:fill="auto"/>
            <w:vAlign w:val="bottom"/>
          </w:tcPr>
          <w:p w:rsidR="003979CD" w:rsidRPr="009547C0" w:rsidRDefault="003979CD" w:rsidP="003979CD">
            <w:pPr>
              <w:pStyle w:val="TableTextRight"/>
            </w:pPr>
            <w:r w:rsidRPr="009547C0">
              <w:t>8</w:t>
            </w:r>
            <w:r>
              <w:t>8.4</w:t>
            </w:r>
            <w:r w:rsidRPr="009547C0">
              <w:t>%</w:t>
            </w:r>
          </w:p>
        </w:tc>
      </w:tr>
      <w:tr w:rsidR="003979CD" w:rsidRPr="00E80CF2" w:rsidTr="003979CD">
        <w:trPr>
          <w:cantSplit/>
        </w:trPr>
        <w:tc>
          <w:tcPr>
            <w:tcW w:w="6774" w:type="dxa"/>
            <w:tcBorders>
              <w:top w:val="nil"/>
            </w:tcBorders>
            <w:shd w:val="clear" w:color="auto" w:fill="D9D9D9" w:themeFill="background1" w:themeFillShade="D9"/>
            <w:vAlign w:val="bottom"/>
          </w:tcPr>
          <w:p w:rsidR="003979CD" w:rsidRPr="008404C2" w:rsidRDefault="003979CD" w:rsidP="003979CD">
            <w:pPr>
              <w:pStyle w:val="TableTextItalics"/>
              <w:rPr>
                <w:b/>
                <w:bCs/>
              </w:rPr>
            </w:pPr>
            <w:r w:rsidRPr="003111AC">
              <w:rPr>
                <w:b/>
                <w:bCs/>
              </w:rPr>
              <w:t>Efficiency measure</w:t>
            </w:r>
          </w:p>
        </w:tc>
        <w:tc>
          <w:tcPr>
            <w:tcW w:w="1470" w:type="dxa"/>
            <w:tcBorders>
              <w:top w:val="nil"/>
            </w:tcBorders>
            <w:shd w:val="clear" w:color="auto" w:fill="D9D9D9" w:themeFill="background1" w:themeFillShade="D9"/>
            <w:vAlign w:val="bottom"/>
          </w:tcPr>
          <w:p w:rsidR="003979CD" w:rsidRPr="00E80CF2" w:rsidRDefault="003979CD" w:rsidP="003979CD">
            <w:pPr>
              <w:pStyle w:val="TableTextRight"/>
              <w:rPr>
                <w:b/>
              </w:rPr>
            </w:pPr>
          </w:p>
        </w:tc>
        <w:tc>
          <w:tcPr>
            <w:tcW w:w="1540" w:type="dxa"/>
            <w:tcBorders>
              <w:top w:val="nil"/>
            </w:tcBorders>
            <w:shd w:val="clear" w:color="auto" w:fill="D9D9D9" w:themeFill="background1" w:themeFillShade="D9"/>
            <w:vAlign w:val="bottom"/>
          </w:tcPr>
          <w:p w:rsidR="003979CD" w:rsidRPr="00E80CF2" w:rsidRDefault="003979CD" w:rsidP="003979CD">
            <w:pPr>
              <w:pStyle w:val="TableTextRight"/>
              <w:rPr>
                <w:b/>
              </w:rPr>
            </w:pPr>
          </w:p>
        </w:tc>
      </w:tr>
      <w:tr w:rsidR="003979CD" w:rsidRPr="00AE0BBC" w:rsidTr="00B20DE8">
        <w:trPr>
          <w:cantSplit/>
        </w:trPr>
        <w:tc>
          <w:tcPr>
            <w:tcW w:w="6774" w:type="dxa"/>
            <w:tcBorders>
              <w:bottom w:val="nil"/>
            </w:tcBorders>
            <w:vAlign w:val="bottom"/>
            <w:hideMark/>
          </w:tcPr>
          <w:p w:rsidR="003979CD" w:rsidRPr="009547C0" w:rsidRDefault="003979CD" w:rsidP="003979CD">
            <w:pPr>
              <w:pStyle w:val="TableText"/>
            </w:pPr>
            <w:r w:rsidRPr="009547C0">
              <w:t>Recurrent cost per client accessing homelessness services</w:t>
            </w:r>
          </w:p>
        </w:tc>
        <w:tc>
          <w:tcPr>
            <w:tcW w:w="1470" w:type="dxa"/>
            <w:tcBorders>
              <w:bottom w:val="nil"/>
            </w:tcBorders>
            <w:shd w:val="clear" w:color="auto" w:fill="auto"/>
            <w:vAlign w:val="bottom"/>
          </w:tcPr>
          <w:p w:rsidR="003979CD" w:rsidRPr="00AE0BBC" w:rsidRDefault="003979CD" w:rsidP="003979CD">
            <w:pPr>
              <w:pStyle w:val="TableTextRight"/>
            </w:pPr>
            <w:r w:rsidRPr="00AE0BBC">
              <w:t>$2,800</w:t>
            </w:r>
          </w:p>
        </w:tc>
        <w:tc>
          <w:tcPr>
            <w:tcW w:w="1540" w:type="dxa"/>
            <w:tcBorders>
              <w:bottom w:val="nil"/>
            </w:tcBorders>
            <w:shd w:val="clear" w:color="auto" w:fill="auto"/>
            <w:vAlign w:val="bottom"/>
          </w:tcPr>
          <w:p w:rsidR="003979CD" w:rsidRPr="00AE0BBC" w:rsidRDefault="003979CD" w:rsidP="003979CD">
            <w:pPr>
              <w:pStyle w:val="TableTextRight"/>
            </w:pPr>
            <w:r w:rsidRPr="00AE0BBC">
              <w:t>$3,082</w:t>
            </w:r>
          </w:p>
        </w:tc>
      </w:tr>
      <w:tr w:rsidR="003979CD" w:rsidRPr="00246DD9" w:rsidTr="00B20DE8">
        <w:trPr>
          <w:cantSplit/>
        </w:trPr>
        <w:tc>
          <w:tcPr>
            <w:tcW w:w="6774" w:type="dxa"/>
            <w:tcBorders>
              <w:top w:val="nil"/>
              <w:bottom w:val="single" w:sz="4" w:space="0" w:color="auto"/>
            </w:tcBorders>
            <w:vAlign w:val="bottom"/>
          </w:tcPr>
          <w:p w:rsidR="003979CD" w:rsidRPr="005B7038" w:rsidRDefault="003979CD" w:rsidP="003979CD">
            <w:pPr>
              <w:pStyle w:val="NoteIndent"/>
              <w:numPr>
                <w:ilvl w:val="0"/>
                <w:numId w:val="0"/>
              </w:numPr>
              <w:rPr>
                <w:i/>
              </w:rPr>
            </w:pPr>
            <w:r w:rsidRPr="599807E0">
              <w:rPr>
                <w:i/>
                <w:iCs/>
              </w:rPr>
              <w:t xml:space="preserve">Variance between 2017–18 Target/Estimate and 2017–18 Actual is primarily due to market variations impacting costs incurred to deliver services. Accurate targets are difficult to predict as annual results in </w:t>
            </w:r>
            <w:r>
              <w:rPr>
                <w:i/>
                <w:iCs/>
              </w:rPr>
              <w:t xml:space="preserve">the </w:t>
            </w:r>
            <w:r w:rsidRPr="599807E0">
              <w:rPr>
                <w:i/>
                <w:iCs/>
              </w:rPr>
              <w:t>Report on Government Services tables are adjusted each year.</w:t>
            </w:r>
          </w:p>
        </w:tc>
        <w:tc>
          <w:tcPr>
            <w:tcW w:w="1470" w:type="dxa"/>
            <w:tcBorders>
              <w:top w:val="nil"/>
              <w:bottom w:val="single" w:sz="4" w:space="0" w:color="auto"/>
            </w:tcBorders>
            <w:vAlign w:val="bottom"/>
          </w:tcPr>
          <w:p w:rsidR="003979CD" w:rsidRPr="009547C0" w:rsidRDefault="003979CD" w:rsidP="003979CD">
            <w:pPr>
              <w:pStyle w:val="TableTextRight"/>
            </w:pPr>
          </w:p>
        </w:tc>
        <w:tc>
          <w:tcPr>
            <w:tcW w:w="1540" w:type="dxa"/>
            <w:tcBorders>
              <w:top w:val="nil"/>
              <w:bottom w:val="single" w:sz="4" w:space="0" w:color="auto"/>
            </w:tcBorders>
            <w:shd w:val="clear" w:color="auto" w:fill="auto"/>
            <w:vAlign w:val="bottom"/>
          </w:tcPr>
          <w:p w:rsidR="003979CD" w:rsidRPr="009547C0" w:rsidRDefault="003979CD" w:rsidP="003979CD">
            <w:pPr>
              <w:pStyle w:val="TableTextRight"/>
            </w:pPr>
          </w:p>
        </w:tc>
      </w:tr>
    </w:tbl>
    <w:p w:rsidR="00B20DE8" w:rsidRPr="009547C0" w:rsidRDefault="00B20DE8" w:rsidP="00B20DE8">
      <w:pPr>
        <w:pStyle w:val="TableTextRight"/>
        <w:tabs>
          <w:tab w:val="left" w:pos="6882"/>
          <w:tab w:val="left" w:pos="8352"/>
        </w:tabs>
        <w:jc w:val="left"/>
      </w:pPr>
    </w:p>
    <w:p w:rsidR="007A046A" w:rsidRDefault="007A046A">
      <w:pPr>
        <w:spacing w:before="0" w:after="0"/>
        <w:rPr>
          <w:rFonts w:ascii="Arial" w:hAnsi="Arial" w:cs="Arial"/>
        </w:rPr>
        <w:sectPr w:rsidR="007A046A" w:rsidSect="00B20DE8">
          <w:pgSz w:w="11910" w:h="16840"/>
          <w:pgMar w:top="1440" w:right="1080" w:bottom="2127" w:left="1080" w:header="720" w:footer="720" w:gutter="0"/>
          <w:cols w:space="720"/>
        </w:sectPr>
      </w:pPr>
    </w:p>
    <w:p w:rsidR="0028598A" w:rsidRPr="00247724" w:rsidRDefault="00B625AF" w:rsidP="009E0D95">
      <w:pPr>
        <w:pStyle w:val="Heading2"/>
        <w:rPr>
          <w:caps/>
        </w:rPr>
      </w:pPr>
      <w:bookmarkStart w:id="30" w:name="_Toc528845961"/>
      <w:r w:rsidRPr="00247724">
        <w:lastRenderedPageBreak/>
        <w:t>Government Accommodation</w:t>
      </w:r>
      <w:r w:rsidR="00473495" w:rsidRPr="00247724">
        <w:t xml:space="preserve"> </w:t>
      </w:r>
      <w:r w:rsidRPr="00247724">
        <w:t>and Building</w:t>
      </w:r>
      <w:r w:rsidRPr="00C96F1A">
        <w:t xml:space="preserve"> </w:t>
      </w:r>
      <w:r w:rsidRPr="00247724">
        <w:t>Policy Services</w:t>
      </w:r>
      <w:bookmarkEnd w:id="30"/>
    </w:p>
    <w:p w:rsidR="0028598A" w:rsidRPr="00C96F1A" w:rsidRDefault="00B625AF" w:rsidP="009E0D95">
      <w:pPr>
        <w:pStyle w:val="Heading3"/>
      </w:pPr>
      <w:r w:rsidRPr="00C96F1A">
        <w:t>Our objective</w:t>
      </w:r>
    </w:p>
    <w:p w:rsidR="0028598A" w:rsidRPr="00C96F1A" w:rsidRDefault="00B625AF" w:rsidP="00C96F1A">
      <w:pPr>
        <w:rPr>
          <w:rFonts w:ascii="Arial" w:hAnsi="Arial" w:cs="Arial"/>
        </w:rPr>
      </w:pPr>
      <w:r w:rsidRPr="00C96F1A">
        <w:rPr>
          <w:rFonts w:ascii="Arial" w:hAnsi="Arial" w:cs="Arial"/>
        </w:rPr>
        <w:t>To deliver the best possible accommodation solutions for government in terms of office space and employee housing to ensure agencies can deliver essential government services to the community; to engage and strengthen relationships with the building construction industry and provide effective and efficient Queensland building and plumbing policy and legislation.</w:t>
      </w:r>
    </w:p>
    <w:p w:rsidR="0028598A" w:rsidRPr="00C96F1A" w:rsidRDefault="00B625AF" w:rsidP="009E0D95">
      <w:pPr>
        <w:pStyle w:val="Heading3"/>
      </w:pPr>
      <w:r w:rsidRPr="00C96F1A">
        <w:t>What we do</w:t>
      </w:r>
    </w:p>
    <w:p w:rsidR="0028598A" w:rsidRPr="00C96F1A" w:rsidRDefault="00B625AF" w:rsidP="00C96F1A">
      <w:pPr>
        <w:rPr>
          <w:rFonts w:ascii="Arial" w:hAnsi="Arial" w:cs="Arial"/>
        </w:rPr>
      </w:pPr>
      <w:r w:rsidRPr="00C96F1A">
        <w:rPr>
          <w:rFonts w:ascii="Arial" w:hAnsi="Arial" w:cs="Arial"/>
        </w:rPr>
        <w:t>Government Accommodation and Building Policy Services delivers the Queensland Government’s office accommodation and employee housing portfolio and manages significant building and property initiatives. Policy Services includes developing and advising on building and plumbing legislation, codes, building policy, research, standards, design and building industry engagement in Queensland. Operational Services also include strategic asset management of an owned accommodation portfolio of approximately 3,200 properties</w:t>
      </w:r>
      <w:r w:rsidR="003979CD">
        <w:rPr>
          <w:rFonts w:ascii="Arial" w:hAnsi="Arial" w:cs="Arial"/>
        </w:rPr>
        <w:t xml:space="preserve"> </w:t>
      </w:r>
      <w:r w:rsidRPr="00C96F1A">
        <w:rPr>
          <w:rFonts w:ascii="Arial" w:hAnsi="Arial" w:cs="Arial"/>
        </w:rPr>
        <w:t>including buildings, ranging from large office blocks, particularly in regional centres, to non-office properties, such as heritage buildings, theatres, convention centres, cultural facilities, industrial properties and bridges and government employee residences. Government Accommodation and Building Policy Services provide planning, strategy and policy development, leasing and tenancy management, and maintenance management across owned and leased portfolios.</w:t>
      </w:r>
    </w:p>
    <w:p w:rsidR="00886D98" w:rsidRDefault="00886D98">
      <w:pPr>
        <w:spacing w:before="0" w:after="0"/>
        <w:rPr>
          <w:rFonts w:ascii="Arial" w:hAnsi="Arial" w:cs="Arial"/>
        </w:rPr>
      </w:pPr>
    </w:p>
    <w:p w:rsidR="00886D98" w:rsidRPr="00473495" w:rsidRDefault="00886D98" w:rsidP="009E0D95">
      <w:pPr>
        <w:pStyle w:val="Heading3"/>
      </w:pPr>
      <w:r>
        <w:t>Key statistics</w:t>
      </w:r>
    </w:p>
    <w:p w:rsidR="00886D98" w:rsidRPr="00886D98" w:rsidRDefault="00886D98" w:rsidP="00D806AE">
      <w:pPr>
        <w:pStyle w:val="ListParagraph"/>
        <w:numPr>
          <w:ilvl w:val="0"/>
          <w:numId w:val="31"/>
        </w:numPr>
        <w:rPr>
          <w:rFonts w:ascii="Arial" w:hAnsi="Arial" w:cs="Arial"/>
        </w:rPr>
      </w:pPr>
      <w:r w:rsidRPr="00886D98">
        <w:rPr>
          <w:rFonts w:ascii="Arial" w:hAnsi="Arial" w:cs="Arial"/>
        </w:rPr>
        <w:t>$4</w:t>
      </w:r>
      <w:r w:rsidR="003979CD">
        <w:rPr>
          <w:rFonts w:ascii="Arial" w:hAnsi="Arial" w:cs="Arial"/>
        </w:rPr>
        <w:t>6</w:t>
      </w:r>
      <w:r w:rsidRPr="00886D98">
        <w:rPr>
          <w:rFonts w:ascii="Arial" w:hAnsi="Arial" w:cs="Arial"/>
        </w:rPr>
        <w:t xml:space="preserve"> billion Queensland building and construction industry</w:t>
      </w:r>
    </w:p>
    <w:p w:rsidR="00886D98" w:rsidRPr="00886D98" w:rsidRDefault="00886D98" w:rsidP="00D806AE">
      <w:pPr>
        <w:pStyle w:val="ListParagraph"/>
        <w:numPr>
          <w:ilvl w:val="0"/>
          <w:numId w:val="31"/>
        </w:numPr>
        <w:rPr>
          <w:rFonts w:ascii="Arial" w:hAnsi="Arial" w:cs="Arial"/>
        </w:rPr>
      </w:pPr>
      <w:r w:rsidRPr="00886D98">
        <w:rPr>
          <w:rFonts w:ascii="Arial" w:hAnsi="Arial" w:cs="Arial"/>
        </w:rPr>
        <w:t>230,000 Queenslanders earn a living in the building and construction industry</w:t>
      </w:r>
    </w:p>
    <w:p w:rsidR="00886D98" w:rsidRPr="00886D98" w:rsidRDefault="00886D98" w:rsidP="00D806AE">
      <w:pPr>
        <w:pStyle w:val="ListParagraph"/>
        <w:numPr>
          <w:ilvl w:val="0"/>
          <w:numId w:val="31"/>
        </w:numPr>
        <w:rPr>
          <w:rFonts w:ascii="Arial" w:hAnsi="Arial" w:cs="Arial"/>
        </w:rPr>
      </w:pPr>
      <w:r w:rsidRPr="00886D98">
        <w:rPr>
          <w:rFonts w:ascii="Arial" w:hAnsi="Arial" w:cs="Arial"/>
        </w:rPr>
        <w:t>$42.75 billion Queensland Government capital works program over the next 4 years</w:t>
      </w:r>
    </w:p>
    <w:p w:rsidR="00886D98" w:rsidRPr="00886D98" w:rsidRDefault="00886D98" w:rsidP="00D806AE">
      <w:pPr>
        <w:pStyle w:val="ListParagraph"/>
        <w:numPr>
          <w:ilvl w:val="0"/>
          <w:numId w:val="31"/>
        </w:numPr>
        <w:rPr>
          <w:rFonts w:ascii="Arial" w:hAnsi="Arial" w:cs="Arial"/>
        </w:rPr>
      </w:pPr>
      <w:r w:rsidRPr="00886D98">
        <w:rPr>
          <w:rFonts w:ascii="Arial" w:hAnsi="Arial" w:cs="Arial"/>
        </w:rPr>
        <w:t>5,000 new social and affordable homes over the next 10 years</w:t>
      </w:r>
    </w:p>
    <w:p w:rsidR="00886D98" w:rsidRDefault="00886D98">
      <w:pPr>
        <w:spacing w:before="0" w:after="0"/>
        <w:rPr>
          <w:rFonts w:ascii="Arial" w:hAnsi="Arial" w:cs="Arial"/>
        </w:rPr>
      </w:pPr>
    </w:p>
    <w:p w:rsidR="00473495" w:rsidRDefault="00473495">
      <w:pPr>
        <w:spacing w:before="0" w:after="0"/>
        <w:rPr>
          <w:rFonts w:ascii="Arial" w:hAnsi="Arial" w:cs="Arial"/>
        </w:rPr>
      </w:pPr>
      <w:r>
        <w:rPr>
          <w:rFonts w:ascii="Arial" w:hAnsi="Arial" w:cs="Arial"/>
        </w:rPr>
        <w:br w:type="page"/>
      </w:r>
    </w:p>
    <w:p w:rsidR="0028598A" w:rsidRPr="00C96F1A" w:rsidRDefault="00B625AF" w:rsidP="00473495">
      <w:pPr>
        <w:pStyle w:val="Heading3"/>
      </w:pPr>
      <w:r w:rsidRPr="00C96F1A">
        <w:lastRenderedPageBreak/>
        <w:t>Our achievements</w:t>
      </w:r>
    </w:p>
    <w:p w:rsidR="0028598A" w:rsidRPr="00C96F1A" w:rsidRDefault="00B625AF" w:rsidP="00473495">
      <w:pPr>
        <w:pStyle w:val="Heading6"/>
      </w:pPr>
      <w:r w:rsidRPr="00C96F1A">
        <w:t>Building industry reform</w:t>
      </w:r>
    </w:p>
    <w:p w:rsidR="0028598A" w:rsidRPr="00C96F1A" w:rsidRDefault="00B625AF" w:rsidP="00C96F1A">
      <w:pPr>
        <w:rPr>
          <w:rFonts w:ascii="Arial" w:hAnsi="Arial" w:cs="Arial"/>
        </w:rPr>
      </w:pPr>
      <w:r w:rsidRPr="00C96F1A">
        <w:rPr>
          <w:rFonts w:ascii="Arial" w:hAnsi="Arial" w:cs="Arial"/>
        </w:rPr>
        <w:t xml:space="preserve">In October 2017 we released the </w:t>
      </w:r>
      <w:r w:rsidRPr="00473495">
        <w:rPr>
          <w:rFonts w:ascii="Arial" w:hAnsi="Arial" w:cs="Arial"/>
          <w:i/>
        </w:rPr>
        <w:t>Queensland Building Plan</w:t>
      </w:r>
      <w:r w:rsidRPr="00C96F1A">
        <w:rPr>
          <w:rFonts w:ascii="Arial" w:hAnsi="Arial" w:cs="Arial"/>
        </w:rPr>
        <w:t>, a blueprint that sets the government’s long-term strategic direction for the building and construction industry.</w:t>
      </w:r>
    </w:p>
    <w:p w:rsidR="0028598A" w:rsidRPr="00C96F1A" w:rsidRDefault="00B625AF" w:rsidP="00C96F1A">
      <w:pPr>
        <w:rPr>
          <w:rFonts w:ascii="Arial" w:hAnsi="Arial" w:cs="Arial"/>
        </w:rPr>
      </w:pPr>
      <w:r w:rsidRPr="00C96F1A">
        <w:rPr>
          <w:rFonts w:ascii="Arial" w:hAnsi="Arial" w:cs="Arial"/>
        </w:rPr>
        <w:t>The Plan recognises the contribution made by around 230,000 Queenslanders who earn a living in the sector and guides changes to policy and legislation aimed at creating a safer, fairer and more sustainable industry.</w:t>
      </w:r>
    </w:p>
    <w:p w:rsidR="0028598A" w:rsidRPr="00C96F1A" w:rsidRDefault="00B625AF" w:rsidP="00C96F1A">
      <w:pPr>
        <w:rPr>
          <w:rFonts w:ascii="Arial" w:hAnsi="Arial" w:cs="Arial"/>
        </w:rPr>
      </w:pPr>
      <w:r w:rsidRPr="00C96F1A">
        <w:rPr>
          <w:rFonts w:ascii="Arial" w:hAnsi="Arial" w:cs="Arial"/>
        </w:rPr>
        <w:t>Progress was made on a number of key reforms, and in 2017–18, we:</w:t>
      </w:r>
    </w:p>
    <w:p w:rsidR="0028598A" w:rsidRPr="00473495" w:rsidRDefault="00B625AF" w:rsidP="00D806AE">
      <w:pPr>
        <w:pStyle w:val="ListParagraph"/>
        <w:numPr>
          <w:ilvl w:val="0"/>
          <w:numId w:val="30"/>
        </w:numPr>
        <w:rPr>
          <w:rFonts w:ascii="Arial" w:hAnsi="Arial" w:cs="Arial"/>
        </w:rPr>
      </w:pPr>
      <w:r w:rsidRPr="00473495">
        <w:rPr>
          <w:rFonts w:ascii="Arial" w:hAnsi="Arial" w:cs="Arial"/>
        </w:rPr>
        <w:t xml:space="preserve">enacted the </w:t>
      </w:r>
      <w:r w:rsidRPr="00473495">
        <w:rPr>
          <w:rFonts w:ascii="Arial" w:hAnsi="Arial" w:cs="Arial"/>
          <w:i/>
        </w:rPr>
        <w:t>Building Industry Fairness (Security of Payment) Act 2017</w:t>
      </w:r>
      <w:r w:rsidRPr="00473495">
        <w:rPr>
          <w:rFonts w:ascii="Arial" w:hAnsi="Arial" w:cs="Arial"/>
        </w:rPr>
        <w:t xml:space="preserve"> to improve security of payment for subcontractors</w:t>
      </w:r>
    </w:p>
    <w:p w:rsidR="0028598A" w:rsidRPr="00473495" w:rsidRDefault="00B625AF" w:rsidP="00D806AE">
      <w:pPr>
        <w:pStyle w:val="ListParagraph"/>
        <w:numPr>
          <w:ilvl w:val="0"/>
          <w:numId w:val="30"/>
        </w:numPr>
        <w:rPr>
          <w:rFonts w:ascii="Arial" w:hAnsi="Arial" w:cs="Arial"/>
        </w:rPr>
      </w:pPr>
      <w:r w:rsidRPr="00473495">
        <w:rPr>
          <w:rFonts w:ascii="Arial" w:hAnsi="Arial" w:cs="Arial"/>
        </w:rPr>
        <w:t xml:space="preserve">introduced Project Bank Accounts for Queensland Government building and construction projects valued between $1 million </w:t>
      </w:r>
      <w:r w:rsidR="005B65D5">
        <w:rPr>
          <w:rFonts w:ascii="Arial" w:hAnsi="Arial" w:cs="Arial"/>
        </w:rPr>
        <w:t>and</w:t>
      </w:r>
      <w:r w:rsidRPr="00473495">
        <w:rPr>
          <w:rFonts w:ascii="Arial" w:hAnsi="Arial" w:cs="Arial"/>
        </w:rPr>
        <w:t xml:space="preserve"> $10 million (including GST) to ensure on time and in full payment to subcontractors</w:t>
      </w:r>
    </w:p>
    <w:p w:rsidR="0028598A" w:rsidRPr="00473495" w:rsidRDefault="00B625AF" w:rsidP="00D806AE">
      <w:pPr>
        <w:pStyle w:val="ListParagraph"/>
        <w:numPr>
          <w:ilvl w:val="0"/>
          <w:numId w:val="30"/>
        </w:numPr>
        <w:rPr>
          <w:rFonts w:ascii="Arial" w:hAnsi="Arial" w:cs="Arial"/>
        </w:rPr>
      </w:pPr>
      <w:r w:rsidRPr="00473495">
        <w:rPr>
          <w:rFonts w:ascii="Arial" w:hAnsi="Arial" w:cs="Arial"/>
        </w:rPr>
        <w:t>conducted 28 information sessions across Queensland to ensure head contractors and consultants were ready and understood Project Bank Accounts requirements</w:t>
      </w:r>
    </w:p>
    <w:p w:rsidR="0028598A" w:rsidRPr="00886D98" w:rsidRDefault="00B625AF" w:rsidP="00D806AE">
      <w:pPr>
        <w:pStyle w:val="ListParagraph"/>
        <w:numPr>
          <w:ilvl w:val="0"/>
          <w:numId w:val="30"/>
        </w:numPr>
        <w:rPr>
          <w:rFonts w:ascii="Arial" w:hAnsi="Arial" w:cs="Arial"/>
        </w:rPr>
      </w:pPr>
      <w:r w:rsidRPr="00473495">
        <w:rPr>
          <w:rFonts w:ascii="Arial" w:hAnsi="Arial" w:cs="Arial"/>
        </w:rPr>
        <w:t xml:space="preserve">delivered the </w:t>
      </w:r>
      <w:r w:rsidRPr="00473495">
        <w:rPr>
          <w:rFonts w:ascii="Arial" w:hAnsi="Arial" w:cs="Arial"/>
          <w:i/>
        </w:rPr>
        <w:t>Non-Conforming Building Products – Chain of Responsibility and Other Matters) Amendment Act 2017</w:t>
      </w:r>
      <w:r w:rsidRPr="00473495">
        <w:rPr>
          <w:rFonts w:ascii="Arial" w:hAnsi="Arial" w:cs="Arial"/>
        </w:rPr>
        <w:t>, which was passed in August 2017 and commenced in November 2017 for building product supply chain</w:t>
      </w:r>
      <w:r w:rsidR="00886D98">
        <w:rPr>
          <w:rFonts w:ascii="Arial" w:hAnsi="Arial" w:cs="Arial"/>
        </w:rPr>
        <w:t xml:space="preserve"> </w:t>
      </w:r>
      <w:r w:rsidRPr="00886D98">
        <w:rPr>
          <w:rFonts w:ascii="Arial" w:hAnsi="Arial" w:cs="Arial"/>
        </w:rPr>
        <w:t>participants (designers, manufacturers, importers, suppliers and installers of building products) to ensure that building products are safe, compliant and fit for their intended</w:t>
      </w:r>
      <w:r w:rsidR="00473495" w:rsidRPr="00886D98">
        <w:rPr>
          <w:rFonts w:ascii="Arial" w:hAnsi="Arial" w:cs="Arial"/>
        </w:rPr>
        <w:t xml:space="preserve"> </w:t>
      </w:r>
      <w:r w:rsidRPr="00886D98">
        <w:rPr>
          <w:rFonts w:ascii="Arial" w:hAnsi="Arial" w:cs="Arial"/>
        </w:rPr>
        <w:t>use</w:t>
      </w:r>
    </w:p>
    <w:p w:rsidR="00886D98" w:rsidRPr="00886D98" w:rsidRDefault="00886D98" w:rsidP="00D806AE">
      <w:pPr>
        <w:pStyle w:val="ListParagraph"/>
        <w:numPr>
          <w:ilvl w:val="0"/>
          <w:numId w:val="32"/>
        </w:numPr>
        <w:rPr>
          <w:rFonts w:ascii="Arial" w:hAnsi="Arial" w:cs="Arial"/>
        </w:rPr>
      </w:pPr>
      <w:r w:rsidRPr="00886D98">
        <w:rPr>
          <w:rFonts w:ascii="Arial" w:hAnsi="Arial" w:cs="Arial"/>
        </w:rPr>
        <w:t xml:space="preserve">introduced the </w:t>
      </w:r>
      <w:r w:rsidRPr="00886D98">
        <w:rPr>
          <w:rFonts w:ascii="Arial" w:hAnsi="Arial" w:cs="Arial"/>
          <w:i/>
        </w:rPr>
        <w:t>Plumbing and Drainage Bill 2018</w:t>
      </w:r>
      <w:r w:rsidRPr="00886D98">
        <w:rPr>
          <w:rFonts w:ascii="Arial" w:hAnsi="Arial" w:cs="Arial"/>
        </w:rPr>
        <w:t xml:space="preserve"> which established a contemporary, streamlined and flexible legislative framework for plumbing and drainage as well as, protecting public health and safety by regulating mechanical services work (including medical gas work) under </w:t>
      </w:r>
      <w:r w:rsidRPr="00886D98">
        <w:rPr>
          <w:rFonts w:ascii="Arial" w:hAnsi="Arial" w:cs="Arial"/>
          <w:i/>
        </w:rPr>
        <w:t>the Queensland Building and Construction Commission Act 1991</w:t>
      </w:r>
    </w:p>
    <w:p w:rsidR="00886D98" w:rsidRPr="00886D98" w:rsidRDefault="00886D98" w:rsidP="00D806AE">
      <w:pPr>
        <w:pStyle w:val="ListParagraph"/>
        <w:numPr>
          <w:ilvl w:val="0"/>
          <w:numId w:val="32"/>
        </w:numPr>
        <w:rPr>
          <w:rFonts w:ascii="Arial" w:hAnsi="Arial" w:cs="Arial"/>
        </w:rPr>
      </w:pPr>
      <w:r w:rsidRPr="00886D98">
        <w:rPr>
          <w:rFonts w:ascii="Arial" w:hAnsi="Arial" w:cs="Arial"/>
        </w:rPr>
        <w:t xml:space="preserve">progressed proposals to improve accessible adult change and sanitary facilities by engaging with industry and community groups ahead of potential changes in 2019 to the </w:t>
      </w:r>
      <w:r w:rsidRPr="00886D98">
        <w:rPr>
          <w:rFonts w:ascii="Arial" w:hAnsi="Arial" w:cs="Arial"/>
          <w:i/>
        </w:rPr>
        <w:t>National Construction Code</w:t>
      </w:r>
      <w:r w:rsidRPr="00886D98">
        <w:rPr>
          <w:rFonts w:ascii="Arial" w:hAnsi="Arial" w:cs="Arial"/>
        </w:rPr>
        <w:t xml:space="preserve"> and the </w:t>
      </w:r>
      <w:r w:rsidRPr="00886D98">
        <w:rPr>
          <w:rFonts w:ascii="Arial" w:hAnsi="Arial" w:cs="Arial"/>
          <w:i/>
        </w:rPr>
        <w:t>Queensland Development Code</w:t>
      </w:r>
    </w:p>
    <w:p w:rsidR="00886D98" w:rsidRPr="00886D98" w:rsidRDefault="00886D98" w:rsidP="00D806AE">
      <w:pPr>
        <w:pStyle w:val="ListParagraph"/>
        <w:numPr>
          <w:ilvl w:val="0"/>
          <w:numId w:val="32"/>
        </w:numPr>
        <w:rPr>
          <w:rFonts w:ascii="Arial" w:hAnsi="Arial" w:cs="Arial"/>
        </w:rPr>
      </w:pPr>
      <w:r w:rsidRPr="00886D98">
        <w:rPr>
          <w:rFonts w:ascii="Arial" w:hAnsi="Arial" w:cs="Arial"/>
        </w:rPr>
        <w:t xml:space="preserve">amended the </w:t>
      </w:r>
      <w:r w:rsidRPr="00886D98">
        <w:rPr>
          <w:rFonts w:ascii="Arial" w:hAnsi="Arial" w:cs="Arial"/>
          <w:i/>
        </w:rPr>
        <w:t>Queensland Plumbing and Wastewater Code</w:t>
      </w:r>
      <w:r w:rsidRPr="00886D98">
        <w:rPr>
          <w:rFonts w:ascii="Arial" w:hAnsi="Arial" w:cs="Arial"/>
        </w:rPr>
        <w:t xml:space="preserve"> to allow solar hot water systems to be oriented 90 degrees either side of north to better suit Queensland’s climate, and provide more savings to consumers.</w:t>
      </w:r>
    </w:p>
    <w:p w:rsidR="0028598A" w:rsidRPr="00C96F1A" w:rsidRDefault="00B625AF" w:rsidP="00886D98">
      <w:pPr>
        <w:pStyle w:val="Heading6"/>
        <w:rPr>
          <w:rFonts w:ascii="Arial" w:hAnsi="Arial" w:cs="Arial"/>
        </w:rPr>
      </w:pPr>
      <w:r w:rsidRPr="00C96F1A">
        <w:t>Ensuring confidence and sustainability</w:t>
      </w:r>
      <w:r w:rsidR="00886D98">
        <w:t xml:space="preserve"> </w:t>
      </w:r>
      <w:r w:rsidRPr="00C96F1A">
        <w:rPr>
          <w:rFonts w:ascii="Arial" w:hAnsi="Arial" w:cs="Arial"/>
        </w:rPr>
        <w:t>in our built environment</w:t>
      </w:r>
    </w:p>
    <w:p w:rsidR="0028598A" w:rsidRPr="00C96F1A" w:rsidRDefault="00B625AF" w:rsidP="00C96F1A">
      <w:pPr>
        <w:rPr>
          <w:rFonts w:ascii="Arial" w:hAnsi="Arial" w:cs="Arial"/>
        </w:rPr>
      </w:pPr>
      <w:r w:rsidRPr="00C96F1A">
        <w:rPr>
          <w:rFonts w:ascii="Arial" w:hAnsi="Arial" w:cs="Arial"/>
        </w:rPr>
        <w:t>Our policy and regulation work is helping ensure Queenslanders have confidence in our built environment and in the buildings in which we live, work and play.</w:t>
      </w:r>
    </w:p>
    <w:p w:rsidR="0028598A" w:rsidRPr="00C96F1A" w:rsidRDefault="00B625AF" w:rsidP="00C96F1A">
      <w:pPr>
        <w:rPr>
          <w:rFonts w:ascii="Arial" w:hAnsi="Arial" w:cs="Arial"/>
        </w:rPr>
      </w:pPr>
      <w:r w:rsidRPr="00C96F1A">
        <w:rPr>
          <w:rFonts w:ascii="Arial" w:hAnsi="Arial" w:cs="Arial"/>
        </w:rPr>
        <w:t>We continued to improve the health and safety of people in their homes and workplaces throughout the year.</w:t>
      </w:r>
    </w:p>
    <w:p w:rsidR="0028598A" w:rsidRPr="00C96F1A" w:rsidRDefault="00B625AF" w:rsidP="00C96F1A">
      <w:pPr>
        <w:rPr>
          <w:rFonts w:ascii="Arial" w:hAnsi="Arial" w:cs="Arial"/>
        </w:rPr>
      </w:pPr>
      <w:r w:rsidRPr="00C96F1A">
        <w:rPr>
          <w:rFonts w:ascii="Arial" w:hAnsi="Arial" w:cs="Arial"/>
        </w:rPr>
        <w:t>In 2017–18, we:</w:t>
      </w:r>
    </w:p>
    <w:p w:rsidR="0028598A" w:rsidRPr="005A3186" w:rsidRDefault="00B625AF" w:rsidP="00D806AE">
      <w:pPr>
        <w:pStyle w:val="ListParagraph"/>
        <w:numPr>
          <w:ilvl w:val="0"/>
          <w:numId w:val="33"/>
        </w:numPr>
        <w:rPr>
          <w:rFonts w:ascii="Arial" w:hAnsi="Arial" w:cs="Arial"/>
        </w:rPr>
      </w:pPr>
      <w:r w:rsidRPr="005A3186">
        <w:rPr>
          <w:rFonts w:ascii="Arial" w:hAnsi="Arial" w:cs="Arial"/>
        </w:rPr>
        <w:t>commenced a roll-out of smoke alarms to public housing dwellings in Cairns, Townsville, Rockhampton, Wide Bay and the greater Brisbane area, with more than 300,000 new smoke alarms to be installed in almost 65,000 dwellings by 1 January 2022</w:t>
      </w:r>
    </w:p>
    <w:p w:rsidR="0028598A" w:rsidRPr="005A3186" w:rsidRDefault="00B625AF" w:rsidP="00D806AE">
      <w:pPr>
        <w:pStyle w:val="ListParagraph"/>
        <w:numPr>
          <w:ilvl w:val="0"/>
          <w:numId w:val="33"/>
        </w:numPr>
        <w:rPr>
          <w:rFonts w:ascii="Arial" w:hAnsi="Arial" w:cs="Arial"/>
        </w:rPr>
      </w:pPr>
      <w:r w:rsidRPr="005A3186">
        <w:rPr>
          <w:rFonts w:ascii="Arial" w:hAnsi="Arial" w:cs="Arial"/>
        </w:rPr>
        <w:t>received 244 tender submissions for the state-wide Standing Offer Arrangement for the installation of smoke alarms, which closed in June 2018</w:t>
      </w:r>
    </w:p>
    <w:p w:rsidR="0028598A" w:rsidRPr="005A3186" w:rsidRDefault="00B625AF" w:rsidP="00D806AE">
      <w:pPr>
        <w:pStyle w:val="ListParagraph"/>
        <w:numPr>
          <w:ilvl w:val="0"/>
          <w:numId w:val="33"/>
        </w:numPr>
        <w:rPr>
          <w:rFonts w:ascii="Arial" w:hAnsi="Arial" w:cs="Arial"/>
        </w:rPr>
      </w:pPr>
      <w:r w:rsidRPr="005A3186">
        <w:rPr>
          <w:rFonts w:ascii="Arial" w:hAnsi="Arial" w:cs="Arial"/>
        </w:rPr>
        <w:t>established the Non-Conforming Building Products Audit Taskforce in June 2017 in response to the combustible cladding issue</w:t>
      </w:r>
    </w:p>
    <w:p w:rsidR="0028598A" w:rsidRPr="005A3186" w:rsidRDefault="00B625AF" w:rsidP="00D806AE">
      <w:pPr>
        <w:pStyle w:val="ListParagraph"/>
        <w:numPr>
          <w:ilvl w:val="0"/>
          <w:numId w:val="33"/>
        </w:numPr>
        <w:rPr>
          <w:rFonts w:ascii="Arial" w:hAnsi="Arial" w:cs="Arial"/>
        </w:rPr>
      </w:pPr>
      <w:r w:rsidRPr="005A3186">
        <w:rPr>
          <w:rFonts w:ascii="Arial" w:hAnsi="Arial" w:cs="Arial"/>
        </w:rPr>
        <w:lastRenderedPageBreak/>
        <w:t>completed an audit on government buildings and delivered a policy position on a range of measures to address the use of combustible cladding on existing privately-owned buildings in Queensland</w:t>
      </w:r>
    </w:p>
    <w:p w:rsidR="0028598A" w:rsidRPr="005A3186" w:rsidRDefault="00B625AF" w:rsidP="00D806AE">
      <w:pPr>
        <w:pStyle w:val="ListParagraph"/>
        <w:numPr>
          <w:ilvl w:val="0"/>
          <w:numId w:val="33"/>
        </w:numPr>
        <w:rPr>
          <w:rFonts w:ascii="Arial" w:hAnsi="Arial" w:cs="Arial"/>
        </w:rPr>
      </w:pPr>
      <w:r w:rsidRPr="005A3186">
        <w:rPr>
          <w:rFonts w:ascii="Arial" w:hAnsi="Arial" w:cs="Arial"/>
        </w:rPr>
        <w:t xml:space="preserve">released the </w:t>
      </w:r>
      <w:r w:rsidRPr="005A3186">
        <w:rPr>
          <w:rFonts w:ascii="Arial" w:hAnsi="Arial" w:cs="Arial"/>
          <w:i/>
        </w:rPr>
        <w:t>Non-Conforming Building Products Audit Taskforce Status Report</w:t>
      </w:r>
      <w:r w:rsidRPr="005A3186">
        <w:rPr>
          <w:rFonts w:ascii="Arial" w:hAnsi="Arial" w:cs="Arial"/>
        </w:rPr>
        <w:t xml:space="preserve"> on 17 May 2018, with</w:t>
      </w:r>
      <w:r w:rsidR="005B65D5">
        <w:rPr>
          <w:rFonts w:ascii="Arial" w:hAnsi="Arial" w:cs="Arial"/>
        </w:rPr>
        <w:t xml:space="preserve"> Government support for</w:t>
      </w:r>
      <w:r w:rsidRPr="005A3186">
        <w:rPr>
          <w:rFonts w:ascii="Arial" w:hAnsi="Arial" w:cs="Arial"/>
        </w:rPr>
        <w:t xml:space="preserve"> all six recommendations:</w:t>
      </w:r>
    </w:p>
    <w:p w:rsidR="0028598A" w:rsidRPr="005A3186" w:rsidRDefault="00B625AF" w:rsidP="00D806AE">
      <w:pPr>
        <w:pStyle w:val="ListParagraph"/>
        <w:numPr>
          <w:ilvl w:val="0"/>
          <w:numId w:val="34"/>
        </w:numPr>
        <w:rPr>
          <w:rFonts w:ascii="Arial" w:hAnsi="Arial" w:cs="Arial"/>
        </w:rPr>
      </w:pPr>
      <w:r w:rsidRPr="005A3186">
        <w:rPr>
          <w:rFonts w:ascii="Arial" w:hAnsi="Arial" w:cs="Arial"/>
        </w:rPr>
        <w:t>compel building owners to take necessary remediation actions</w:t>
      </w:r>
    </w:p>
    <w:p w:rsidR="0028598A" w:rsidRPr="005A3186" w:rsidRDefault="00B625AF" w:rsidP="00D806AE">
      <w:pPr>
        <w:pStyle w:val="ListParagraph"/>
        <w:numPr>
          <w:ilvl w:val="0"/>
          <w:numId w:val="34"/>
        </w:numPr>
        <w:rPr>
          <w:rFonts w:ascii="Arial" w:hAnsi="Arial" w:cs="Arial"/>
        </w:rPr>
      </w:pPr>
      <w:r w:rsidRPr="005A3186">
        <w:rPr>
          <w:rFonts w:ascii="Arial" w:hAnsi="Arial" w:cs="Arial"/>
        </w:rPr>
        <w:t>implement proposed building process for assessing non-government buildings</w:t>
      </w:r>
    </w:p>
    <w:p w:rsidR="0028598A" w:rsidRPr="005A3186" w:rsidRDefault="00B625AF" w:rsidP="00D806AE">
      <w:pPr>
        <w:pStyle w:val="ListParagraph"/>
        <w:numPr>
          <w:ilvl w:val="0"/>
          <w:numId w:val="34"/>
        </w:numPr>
        <w:rPr>
          <w:rFonts w:ascii="Arial" w:hAnsi="Arial" w:cs="Arial"/>
        </w:rPr>
      </w:pPr>
      <w:r w:rsidRPr="005A3186">
        <w:rPr>
          <w:rFonts w:ascii="Arial" w:hAnsi="Arial" w:cs="Arial"/>
        </w:rPr>
        <w:t>develop a central retention database</w:t>
      </w:r>
    </w:p>
    <w:p w:rsidR="0028598A" w:rsidRPr="005A3186" w:rsidRDefault="00B625AF" w:rsidP="00D806AE">
      <w:pPr>
        <w:pStyle w:val="ListParagraph"/>
        <w:numPr>
          <w:ilvl w:val="0"/>
          <w:numId w:val="34"/>
        </w:numPr>
        <w:rPr>
          <w:rFonts w:ascii="Arial" w:hAnsi="Arial" w:cs="Arial"/>
        </w:rPr>
      </w:pPr>
      <w:r w:rsidRPr="005A3186">
        <w:rPr>
          <w:rFonts w:ascii="Arial" w:hAnsi="Arial" w:cs="Arial"/>
        </w:rPr>
        <w:t>lead the development of education and guidance materials for industry professionals</w:t>
      </w:r>
    </w:p>
    <w:p w:rsidR="0028598A" w:rsidRPr="005A3186" w:rsidRDefault="00B625AF" w:rsidP="00D806AE">
      <w:pPr>
        <w:pStyle w:val="ListParagraph"/>
        <w:numPr>
          <w:ilvl w:val="0"/>
          <w:numId w:val="34"/>
        </w:numPr>
        <w:rPr>
          <w:rFonts w:ascii="Arial" w:hAnsi="Arial" w:cs="Arial"/>
        </w:rPr>
      </w:pPr>
      <w:r w:rsidRPr="005A3186">
        <w:rPr>
          <w:rFonts w:ascii="Arial" w:hAnsi="Arial" w:cs="Arial"/>
        </w:rPr>
        <w:t>undertake product testing and development of a materials library</w:t>
      </w:r>
    </w:p>
    <w:p w:rsidR="0028598A" w:rsidRPr="005A3186" w:rsidRDefault="00B625AF" w:rsidP="00D806AE">
      <w:pPr>
        <w:pStyle w:val="ListParagraph"/>
        <w:numPr>
          <w:ilvl w:val="0"/>
          <w:numId w:val="34"/>
        </w:numPr>
        <w:rPr>
          <w:rFonts w:ascii="Arial" w:hAnsi="Arial" w:cs="Arial"/>
        </w:rPr>
      </w:pPr>
      <w:r w:rsidRPr="005A3186">
        <w:rPr>
          <w:rFonts w:ascii="Arial" w:hAnsi="Arial" w:cs="Arial"/>
        </w:rPr>
        <w:t>develop continuing professional development programs for practitioners within the supply chain.</w:t>
      </w:r>
    </w:p>
    <w:p w:rsidR="0028598A" w:rsidRPr="00C96F1A" w:rsidRDefault="00B625AF" w:rsidP="00D806AE">
      <w:pPr>
        <w:pStyle w:val="ListParagraph"/>
        <w:numPr>
          <w:ilvl w:val="0"/>
          <w:numId w:val="33"/>
        </w:numPr>
        <w:rPr>
          <w:rFonts w:ascii="Arial" w:hAnsi="Arial" w:cs="Arial"/>
        </w:rPr>
      </w:pPr>
      <w:r w:rsidRPr="00C96F1A">
        <w:rPr>
          <w:rFonts w:ascii="Arial" w:hAnsi="Arial" w:cs="Arial"/>
        </w:rPr>
        <w:t>established a funding agreement with James Cook University to deliver the Strata Title Inspection Scheme following funding from the Commonwealth Government of up to</w:t>
      </w:r>
      <w:r w:rsidR="00762586">
        <w:rPr>
          <w:rFonts w:ascii="Arial" w:hAnsi="Arial" w:cs="Arial"/>
        </w:rPr>
        <w:t xml:space="preserve"> </w:t>
      </w:r>
      <w:r w:rsidRPr="00C96F1A">
        <w:rPr>
          <w:rFonts w:ascii="Arial" w:hAnsi="Arial" w:cs="Arial"/>
        </w:rPr>
        <w:t>$12.5 million over four years to undertake engineering assessments of strata title properties in cyclone areas of North Queensland.</w:t>
      </w:r>
    </w:p>
    <w:p w:rsidR="0028598A" w:rsidRPr="00C96F1A" w:rsidRDefault="00B625AF" w:rsidP="00C96F1A">
      <w:pPr>
        <w:rPr>
          <w:rFonts w:ascii="Arial" w:hAnsi="Arial" w:cs="Arial"/>
        </w:rPr>
      </w:pPr>
      <w:r w:rsidRPr="00C96F1A">
        <w:rPr>
          <w:rFonts w:ascii="Arial" w:hAnsi="Arial" w:cs="Arial"/>
        </w:rPr>
        <w:t>Our development of innovative environmentally sustainable solutions continued to enhance our government asset portfolio, including buildings.</w:t>
      </w:r>
    </w:p>
    <w:p w:rsidR="0028598A" w:rsidRPr="00C96F1A" w:rsidRDefault="00B625AF" w:rsidP="00C96F1A">
      <w:pPr>
        <w:rPr>
          <w:rFonts w:ascii="Arial" w:hAnsi="Arial" w:cs="Arial"/>
        </w:rPr>
      </w:pPr>
      <w:r w:rsidRPr="00C96F1A">
        <w:rPr>
          <w:rFonts w:ascii="Arial" w:hAnsi="Arial" w:cs="Arial"/>
        </w:rPr>
        <w:t>Throughout the year we:</w:t>
      </w:r>
    </w:p>
    <w:p w:rsidR="0028598A" w:rsidRPr="005B65D5" w:rsidRDefault="00B625AF" w:rsidP="00D806AE">
      <w:pPr>
        <w:pStyle w:val="ListParagraph"/>
        <w:numPr>
          <w:ilvl w:val="0"/>
          <w:numId w:val="33"/>
        </w:numPr>
        <w:rPr>
          <w:rFonts w:ascii="Arial" w:hAnsi="Arial" w:cs="Arial"/>
        </w:rPr>
      </w:pPr>
      <w:r w:rsidRPr="005B65D5">
        <w:rPr>
          <w:rFonts w:ascii="Arial" w:hAnsi="Arial" w:cs="Arial"/>
        </w:rPr>
        <w:t>audited energy usage in Queensland Government office accommodation and achieved energy savings through retrofits</w:t>
      </w:r>
    </w:p>
    <w:p w:rsidR="0028598A" w:rsidRPr="005B65D5" w:rsidRDefault="00B625AF" w:rsidP="00D806AE">
      <w:pPr>
        <w:pStyle w:val="ListParagraph"/>
        <w:numPr>
          <w:ilvl w:val="0"/>
          <w:numId w:val="33"/>
        </w:numPr>
        <w:rPr>
          <w:rFonts w:ascii="Arial" w:hAnsi="Arial" w:cs="Arial"/>
        </w:rPr>
      </w:pPr>
      <w:r w:rsidRPr="005B65D5">
        <w:rPr>
          <w:rFonts w:ascii="Arial" w:hAnsi="Arial" w:cs="Arial"/>
        </w:rPr>
        <w:t xml:space="preserve">commenced </w:t>
      </w:r>
      <w:r w:rsidR="00C971D5">
        <w:rPr>
          <w:rFonts w:ascii="Arial" w:hAnsi="Arial" w:cs="Arial"/>
        </w:rPr>
        <w:t>four</w:t>
      </w:r>
      <w:r w:rsidR="00957B03">
        <w:rPr>
          <w:rFonts w:ascii="Arial" w:hAnsi="Arial" w:cs="Arial"/>
        </w:rPr>
        <w:t xml:space="preserve"> </w:t>
      </w:r>
      <w:r w:rsidRPr="005B65D5">
        <w:rPr>
          <w:rFonts w:ascii="Arial" w:hAnsi="Arial" w:cs="Arial"/>
        </w:rPr>
        <w:t>accredited assessments of office accommodation</w:t>
      </w:r>
      <w:r w:rsidR="005B65D5">
        <w:rPr>
          <w:rFonts w:ascii="Arial" w:hAnsi="Arial" w:cs="Arial"/>
        </w:rPr>
        <w:t xml:space="preserve"> </w:t>
      </w:r>
      <w:r w:rsidRPr="005B65D5">
        <w:rPr>
          <w:rFonts w:ascii="Arial" w:hAnsi="Arial" w:cs="Arial"/>
        </w:rPr>
        <w:t>using the Green Star sustainability rating tools</w:t>
      </w:r>
    </w:p>
    <w:p w:rsidR="0028598A" w:rsidRPr="005B65D5" w:rsidRDefault="00B625AF" w:rsidP="00D806AE">
      <w:pPr>
        <w:pStyle w:val="ListParagraph"/>
        <w:numPr>
          <w:ilvl w:val="0"/>
          <w:numId w:val="33"/>
        </w:numPr>
        <w:rPr>
          <w:rFonts w:ascii="Arial" w:hAnsi="Arial" w:cs="Arial"/>
        </w:rPr>
      </w:pPr>
      <w:r w:rsidRPr="005B65D5">
        <w:rPr>
          <w:rFonts w:ascii="Arial" w:hAnsi="Arial" w:cs="Arial"/>
        </w:rPr>
        <w:t xml:space="preserve">contributed to the </w:t>
      </w:r>
      <w:r w:rsidRPr="005B65D5">
        <w:rPr>
          <w:rFonts w:ascii="Arial" w:hAnsi="Arial" w:cs="Arial"/>
          <w:i/>
        </w:rPr>
        <w:t>Queensland Climate Transition Strategy</w:t>
      </w:r>
      <w:r w:rsidRPr="005B65D5">
        <w:rPr>
          <w:rFonts w:ascii="Arial" w:hAnsi="Arial" w:cs="Arial"/>
        </w:rPr>
        <w:t xml:space="preserve"> by advancing initiatives to reduce emissions in government operations</w:t>
      </w:r>
    </w:p>
    <w:p w:rsidR="0028598A" w:rsidRPr="005B65D5" w:rsidRDefault="00B625AF" w:rsidP="00D806AE">
      <w:pPr>
        <w:pStyle w:val="ListParagraph"/>
        <w:numPr>
          <w:ilvl w:val="0"/>
          <w:numId w:val="33"/>
        </w:numPr>
        <w:rPr>
          <w:rFonts w:ascii="Arial" w:hAnsi="Arial" w:cs="Arial"/>
        </w:rPr>
      </w:pPr>
      <w:r w:rsidRPr="005B65D5">
        <w:rPr>
          <w:rFonts w:ascii="Arial" w:hAnsi="Arial" w:cs="Arial"/>
        </w:rPr>
        <w:t>worked with the Sustainable Built Environment National Research Centre, a leader in fostering collaboration between industry, government and research organisations to improve Australia’s built environment industry.</w:t>
      </w:r>
    </w:p>
    <w:p w:rsidR="0028598A" w:rsidRPr="00C96F1A" w:rsidRDefault="00B625AF" w:rsidP="005B65D5">
      <w:pPr>
        <w:pStyle w:val="Heading6"/>
      </w:pPr>
      <w:r w:rsidRPr="00C96F1A">
        <w:t>Supporting Queensland’s regions and communities</w:t>
      </w:r>
    </w:p>
    <w:p w:rsidR="0028598A" w:rsidRPr="00C96F1A" w:rsidRDefault="00B625AF" w:rsidP="00C96F1A">
      <w:pPr>
        <w:rPr>
          <w:rFonts w:ascii="Arial" w:hAnsi="Arial" w:cs="Arial"/>
        </w:rPr>
      </w:pPr>
      <w:r w:rsidRPr="00C96F1A">
        <w:rPr>
          <w:rFonts w:ascii="Arial" w:hAnsi="Arial" w:cs="Arial"/>
        </w:rPr>
        <w:t>Our continued focus on forward planning, smarter practices and leveraging of government resources is delivering efficient services for regional and remote communities.</w:t>
      </w:r>
    </w:p>
    <w:p w:rsidR="0028598A" w:rsidRPr="00C96F1A" w:rsidRDefault="00B625AF" w:rsidP="00C96F1A">
      <w:pPr>
        <w:rPr>
          <w:rFonts w:ascii="Arial" w:hAnsi="Arial" w:cs="Arial"/>
        </w:rPr>
      </w:pPr>
      <w:r w:rsidRPr="00C96F1A">
        <w:rPr>
          <w:rFonts w:ascii="Arial" w:hAnsi="Arial" w:cs="Arial"/>
        </w:rPr>
        <w:t>The provision of cost-efficient government employee housing is supporting government agencies to deliver essential services on the ground.</w:t>
      </w:r>
    </w:p>
    <w:p w:rsidR="0028598A" w:rsidRPr="00C96F1A" w:rsidRDefault="00B625AF" w:rsidP="00C96F1A">
      <w:pPr>
        <w:rPr>
          <w:rFonts w:ascii="Arial" w:hAnsi="Arial" w:cs="Arial"/>
        </w:rPr>
      </w:pPr>
      <w:r w:rsidRPr="00C96F1A">
        <w:rPr>
          <w:rFonts w:ascii="Arial" w:hAnsi="Arial" w:cs="Arial"/>
        </w:rPr>
        <w:t>In 2017–18, we:</w:t>
      </w:r>
    </w:p>
    <w:p w:rsidR="0028598A" w:rsidRPr="005B65D5" w:rsidRDefault="00B625AF" w:rsidP="00D806AE">
      <w:pPr>
        <w:pStyle w:val="ListParagraph"/>
        <w:numPr>
          <w:ilvl w:val="0"/>
          <w:numId w:val="59"/>
        </w:numPr>
        <w:rPr>
          <w:rFonts w:ascii="Arial" w:hAnsi="Arial" w:cs="Arial"/>
        </w:rPr>
      </w:pPr>
      <w:r w:rsidRPr="005B65D5">
        <w:rPr>
          <w:rFonts w:ascii="Arial" w:hAnsi="Arial" w:cs="Arial"/>
        </w:rPr>
        <w:t>awarded contracts for 77 new government employee housing residences under the department’s capital investment program, which will provide an additional 137 residences delivered over a four-year period (from June 2017)</w:t>
      </w:r>
    </w:p>
    <w:p w:rsidR="0028598A" w:rsidRPr="005B65D5" w:rsidRDefault="00B625AF" w:rsidP="00D806AE">
      <w:pPr>
        <w:pStyle w:val="ListParagraph"/>
        <w:numPr>
          <w:ilvl w:val="0"/>
          <w:numId w:val="59"/>
        </w:numPr>
        <w:rPr>
          <w:rFonts w:ascii="Arial" w:hAnsi="Arial" w:cs="Arial"/>
        </w:rPr>
      </w:pPr>
      <w:r w:rsidRPr="005B65D5">
        <w:rPr>
          <w:rFonts w:ascii="Arial" w:hAnsi="Arial" w:cs="Arial"/>
        </w:rPr>
        <w:t>delivered 18 new government employee residences to support the retention of skilled staff in Baralaba, Hughenden, Isisford, Jericho, Palm Island and Weipa</w:t>
      </w:r>
    </w:p>
    <w:p w:rsidR="0028598A" w:rsidRPr="005B65D5" w:rsidRDefault="00B625AF" w:rsidP="00D806AE">
      <w:pPr>
        <w:pStyle w:val="ListParagraph"/>
        <w:numPr>
          <w:ilvl w:val="0"/>
          <w:numId w:val="59"/>
        </w:numPr>
        <w:rPr>
          <w:rFonts w:ascii="Arial" w:hAnsi="Arial" w:cs="Arial"/>
        </w:rPr>
      </w:pPr>
      <w:r w:rsidRPr="005B65D5">
        <w:rPr>
          <w:rFonts w:ascii="Arial" w:hAnsi="Arial" w:cs="Arial"/>
        </w:rPr>
        <w:t>commenced construction on a further 16 government employee residences across rural, remote, and Aboriginal and Torres Strait Islander communities, which are due for completion in 2018–19</w:t>
      </w:r>
    </w:p>
    <w:p w:rsidR="0028598A" w:rsidRPr="005B65D5" w:rsidRDefault="00B625AF" w:rsidP="00D806AE">
      <w:pPr>
        <w:pStyle w:val="ListParagraph"/>
        <w:numPr>
          <w:ilvl w:val="0"/>
          <w:numId w:val="59"/>
        </w:numPr>
        <w:rPr>
          <w:rFonts w:ascii="Arial" w:hAnsi="Arial" w:cs="Arial"/>
        </w:rPr>
      </w:pPr>
      <w:r w:rsidRPr="005B65D5">
        <w:rPr>
          <w:rFonts w:ascii="Arial" w:hAnsi="Arial" w:cs="Arial"/>
        </w:rPr>
        <w:t>delivered maintenance, upgrade and improvement programs to enhance the quality and standard of government employee housing</w:t>
      </w:r>
    </w:p>
    <w:p w:rsidR="0028598A" w:rsidRPr="005B65D5" w:rsidRDefault="00B625AF" w:rsidP="00D806AE">
      <w:pPr>
        <w:pStyle w:val="ListParagraph"/>
        <w:numPr>
          <w:ilvl w:val="0"/>
          <w:numId w:val="59"/>
        </w:numPr>
        <w:rPr>
          <w:rFonts w:ascii="Arial" w:hAnsi="Arial" w:cs="Arial"/>
        </w:rPr>
      </w:pPr>
      <w:r w:rsidRPr="005B65D5">
        <w:rPr>
          <w:rFonts w:ascii="Arial" w:hAnsi="Arial" w:cs="Arial"/>
        </w:rPr>
        <w:lastRenderedPageBreak/>
        <w:t>improved occupancy in areas with long-term vacancies by engaging real estate agents to lease properties to the private market</w:t>
      </w:r>
    </w:p>
    <w:p w:rsidR="0028598A" w:rsidRPr="005B65D5" w:rsidRDefault="00B625AF" w:rsidP="00D806AE">
      <w:pPr>
        <w:pStyle w:val="ListParagraph"/>
        <w:numPr>
          <w:ilvl w:val="0"/>
          <w:numId w:val="59"/>
        </w:numPr>
        <w:rPr>
          <w:rFonts w:ascii="Arial" w:hAnsi="Arial" w:cs="Arial"/>
        </w:rPr>
      </w:pPr>
      <w:r w:rsidRPr="005B65D5">
        <w:rPr>
          <w:rFonts w:ascii="Arial" w:hAnsi="Arial" w:cs="Arial"/>
        </w:rPr>
        <w:t>implemented a new tenancy management model to enable leasing agencies to self-manage or have the department undertake tenancy management services.</w:t>
      </w:r>
    </w:p>
    <w:p w:rsidR="0028598A" w:rsidRPr="00C96F1A" w:rsidRDefault="00B625AF" w:rsidP="00C96F1A">
      <w:pPr>
        <w:rPr>
          <w:rFonts w:ascii="Arial" w:hAnsi="Arial" w:cs="Arial"/>
        </w:rPr>
      </w:pPr>
      <w:r w:rsidRPr="00C96F1A">
        <w:rPr>
          <w:rFonts w:ascii="Arial" w:hAnsi="Arial" w:cs="Arial"/>
        </w:rPr>
        <w:t>In addition to government employee housing, the department also delivered a number of key office accommodation projects across the state.</w:t>
      </w:r>
    </w:p>
    <w:p w:rsidR="0028598A" w:rsidRPr="00C96F1A" w:rsidRDefault="00B625AF" w:rsidP="00C96F1A">
      <w:pPr>
        <w:rPr>
          <w:rFonts w:ascii="Arial" w:hAnsi="Arial" w:cs="Arial"/>
        </w:rPr>
      </w:pPr>
      <w:r w:rsidRPr="00C96F1A">
        <w:rPr>
          <w:rFonts w:ascii="Arial" w:hAnsi="Arial" w:cs="Arial"/>
        </w:rPr>
        <w:t>In 2017–18, we:</w:t>
      </w:r>
    </w:p>
    <w:p w:rsidR="0028598A" w:rsidRPr="005B65D5" w:rsidRDefault="00B625AF" w:rsidP="00D806AE">
      <w:pPr>
        <w:pStyle w:val="ListParagraph"/>
        <w:numPr>
          <w:ilvl w:val="0"/>
          <w:numId w:val="60"/>
        </w:numPr>
        <w:rPr>
          <w:rFonts w:ascii="Arial" w:hAnsi="Arial" w:cs="Arial"/>
        </w:rPr>
      </w:pPr>
      <w:r w:rsidRPr="005B65D5">
        <w:rPr>
          <w:rFonts w:ascii="Arial" w:hAnsi="Arial" w:cs="Arial"/>
        </w:rPr>
        <w:t>revitalised the heritage government office building (recently renamed the Moira Hansen Government Office Building) in Maryborough, to reuse as government office accommodation</w:t>
      </w:r>
    </w:p>
    <w:p w:rsidR="0028598A" w:rsidRPr="005B65D5" w:rsidRDefault="00B625AF" w:rsidP="00D806AE">
      <w:pPr>
        <w:pStyle w:val="ListParagraph"/>
        <w:numPr>
          <w:ilvl w:val="0"/>
          <w:numId w:val="60"/>
        </w:numPr>
        <w:rPr>
          <w:rFonts w:ascii="Arial" w:hAnsi="Arial" w:cs="Arial"/>
        </w:rPr>
      </w:pPr>
      <w:r w:rsidRPr="005B65D5">
        <w:rPr>
          <w:rFonts w:ascii="Arial" w:hAnsi="Arial" w:cs="Arial"/>
        </w:rPr>
        <w:t xml:space="preserve">completed Phase 1 of the Brisbane </w:t>
      </w:r>
      <w:r w:rsidRPr="005B65D5">
        <w:rPr>
          <w:rFonts w:ascii="Arial" w:hAnsi="Arial" w:cs="Arial"/>
          <w:i/>
        </w:rPr>
        <w:t>CBD and Fringe Area Government Office Accommodation Strategy 2015–2025</w:t>
      </w:r>
      <w:r w:rsidRPr="005B65D5">
        <w:rPr>
          <w:rFonts w:ascii="Arial" w:hAnsi="Arial" w:cs="Arial"/>
        </w:rPr>
        <w:t xml:space="preserve"> and commenced the implementation of Phase 2</w:t>
      </w:r>
    </w:p>
    <w:p w:rsidR="0028598A" w:rsidRPr="005B65D5" w:rsidRDefault="00B625AF" w:rsidP="00D806AE">
      <w:pPr>
        <w:pStyle w:val="ListParagraph"/>
        <w:numPr>
          <w:ilvl w:val="0"/>
          <w:numId w:val="60"/>
        </w:numPr>
        <w:rPr>
          <w:rFonts w:ascii="Arial" w:hAnsi="Arial" w:cs="Arial"/>
        </w:rPr>
      </w:pPr>
      <w:r w:rsidRPr="005B65D5">
        <w:rPr>
          <w:rFonts w:ascii="Arial" w:hAnsi="Arial" w:cs="Arial"/>
        </w:rPr>
        <w:t>released the first package of approximately 25,000 m2 to market to replace ageing and inefficient leas</w:t>
      </w:r>
      <w:r w:rsidR="00C971D5">
        <w:rPr>
          <w:rFonts w:ascii="Arial" w:hAnsi="Arial" w:cs="Arial"/>
        </w:rPr>
        <w:t xml:space="preserve">ed </w:t>
      </w:r>
      <w:r w:rsidRPr="005B65D5">
        <w:rPr>
          <w:rFonts w:ascii="Arial" w:hAnsi="Arial" w:cs="Arial"/>
        </w:rPr>
        <w:t>office space, rather than expanding into additional space</w:t>
      </w:r>
    </w:p>
    <w:p w:rsidR="0028598A" w:rsidRPr="005B65D5" w:rsidRDefault="00B625AF" w:rsidP="00D806AE">
      <w:pPr>
        <w:pStyle w:val="ListParagraph"/>
        <w:numPr>
          <w:ilvl w:val="0"/>
          <w:numId w:val="60"/>
        </w:numPr>
        <w:rPr>
          <w:rFonts w:ascii="Arial" w:hAnsi="Arial" w:cs="Arial"/>
        </w:rPr>
      </w:pPr>
      <w:r w:rsidRPr="005B65D5">
        <w:rPr>
          <w:rFonts w:ascii="Arial" w:hAnsi="Arial" w:cs="Arial"/>
        </w:rPr>
        <w:t>continued to operate three whole-of-government Distributed Work Centres (DWC) in Ipswich, Robina and Maroochydore, providing an innovative working arrangement for more than 200 government staff</w:t>
      </w:r>
    </w:p>
    <w:p w:rsidR="0028598A" w:rsidRPr="005B65D5" w:rsidRDefault="00B625AF" w:rsidP="00D806AE">
      <w:pPr>
        <w:pStyle w:val="ListParagraph"/>
        <w:numPr>
          <w:ilvl w:val="0"/>
          <w:numId w:val="60"/>
        </w:numPr>
        <w:rPr>
          <w:rFonts w:ascii="Arial" w:hAnsi="Arial" w:cs="Arial"/>
        </w:rPr>
      </w:pPr>
      <w:r w:rsidRPr="005B65D5">
        <w:rPr>
          <w:rFonts w:ascii="Arial" w:hAnsi="Arial" w:cs="Arial"/>
        </w:rPr>
        <w:t>progressed planning for the opening of a new DWC at Logan in early 2018–19 to further boost improved work/life balance and productivity and reduce traffic congestion.</w:t>
      </w:r>
    </w:p>
    <w:p w:rsidR="0028598A" w:rsidRPr="00C96F1A" w:rsidRDefault="00B625AF" w:rsidP="005B65D5">
      <w:pPr>
        <w:pStyle w:val="Heading6"/>
      </w:pPr>
      <w:r w:rsidRPr="00C96F1A">
        <w:t>Delivering value through planning and collaboration</w:t>
      </w:r>
    </w:p>
    <w:p w:rsidR="0028598A" w:rsidRPr="00C96F1A" w:rsidRDefault="00B625AF" w:rsidP="00C96F1A">
      <w:pPr>
        <w:rPr>
          <w:rFonts w:ascii="Arial" w:hAnsi="Arial" w:cs="Arial"/>
        </w:rPr>
      </w:pPr>
      <w:r w:rsidRPr="00C96F1A">
        <w:rPr>
          <w:rFonts w:ascii="Arial" w:hAnsi="Arial" w:cs="Arial"/>
        </w:rPr>
        <w:t>The department worked collaboratively across the sector to develop strategies to improve value through building construction and maintenance expenditure, and inform the government’s forward procurement pipeline.</w:t>
      </w:r>
    </w:p>
    <w:p w:rsidR="0028598A" w:rsidRPr="00C96F1A" w:rsidRDefault="00B625AF" w:rsidP="00C96F1A">
      <w:pPr>
        <w:rPr>
          <w:rFonts w:ascii="Arial" w:hAnsi="Arial" w:cs="Arial"/>
        </w:rPr>
      </w:pPr>
      <w:r w:rsidRPr="00C96F1A">
        <w:rPr>
          <w:rFonts w:ascii="Arial" w:hAnsi="Arial" w:cs="Arial"/>
        </w:rPr>
        <w:t>In 2017–18, we:</w:t>
      </w:r>
    </w:p>
    <w:p w:rsidR="0028598A" w:rsidRPr="005B65D5" w:rsidRDefault="00B625AF" w:rsidP="00D806AE">
      <w:pPr>
        <w:pStyle w:val="ListParagraph"/>
        <w:numPr>
          <w:ilvl w:val="0"/>
          <w:numId w:val="61"/>
        </w:numPr>
        <w:rPr>
          <w:rFonts w:ascii="Arial" w:hAnsi="Arial" w:cs="Arial"/>
        </w:rPr>
      </w:pPr>
      <w:r w:rsidRPr="005B65D5">
        <w:rPr>
          <w:rFonts w:ascii="Arial" w:hAnsi="Arial" w:cs="Arial"/>
        </w:rPr>
        <w:t>provided strategic direction for whole-of-government investment in building construction and maintenance procurement initiatives</w:t>
      </w:r>
    </w:p>
    <w:p w:rsidR="0028598A" w:rsidRPr="005B65D5" w:rsidRDefault="00B625AF" w:rsidP="00D806AE">
      <w:pPr>
        <w:pStyle w:val="ListParagraph"/>
        <w:numPr>
          <w:ilvl w:val="0"/>
          <w:numId w:val="61"/>
        </w:numPr>
        <w:rPr>
          <w:rFonts w:ascii="Arial" w:hAnsi="Arial" w:cs="Arial"/>
        </w:rPr>
      </w:pPr>
      <w:r w:rsidRPr="005B65D5">
        <w:rPr>
          <w:rFonts w:ascii="Arial" w:hAnsi="Arial" w:cs="Arial"/>
        </w:rPr>
        <w:t xml:space="preserve">delivered the second </w:t>
      </w:r>
      <w:r w:rsidRPr="005B65D5">
        <w:rPr>
          <w:rFonts w:ascii="Arial" w:hAnsi="Arial" w:cs="Arial"/>
          <w:i/>
        </w:rPr>
        <w:t>Building Construction and Maintenance Category Group Strategy</w:t>
      </w:r>
      <w:r w:rsidRPr="005B65D5">
        <w:rPr>
          <w:rFonts w:ascii="Arial" w:hAnsi="Arial" w:cs="Arial"/>
        </w:rPr>
        <w:t xml:space="preserve"> and the inaugural </w:t>
      </w:r>
      <w:r w:rsidRPr="005B65D5">
        <w:rPr>
          <w:rFonts w:ascii="Arial" w:hAnsi="Arial" w:cs="Arial"/>
          <w:i/>
        </w:rPr>
        <w:t>Building Contractors Sub-Category Plan</w:t>
      </w:r>
    </w:p>
    <w:p w:rsidR="0028598A" w:rsidRPr="005B65D5" w:rsidRDefault="00B625AF" w:rsidP="00D806AE">
      <w:pPr>
        <w:pStyle w:val="ListParagraph"/>
        <w:numPr>
          <w:ilvl w:val="0"/>
          <w:numId w:val="61"/>
        </w:numPr>
        <w:rPr>
          <w:rFonts w:ascii="Arial" w:hAnsi="Arial" w:cs="Arial"/>
        </w:rPr>
      </w:pPr>
      <w:r w:rsidRPr="005B65D5">
        <w:rPr>
          <w:rFonts w:ascii="Arial" w:hAnsi="Arial" w:cs="Arial"/>
        </w:rPr>
        <w:t>continued to deliver Building Construction and Maintenance Collaboration Forums and Regional Planning Forums across the state, bringing procurement professionals together.</w:t>
      </w:r>
    </w:p>
    <w:p w:rsidR="0028598A" w:rsidRPr="00C96F1A" w:rsidRDefault="00B625AF" w:rsidP="005B65D5">
      <w:pPr>
        <w:pStyle w:val="Heading3"/>
      </w:pPr>
      <w:r w:rsidRPr="00C96F1A">
        <w:t>Our future focus</w:t>
      </w:r>
    </w:p>
    <w:p w:rsidR="0028598A" w:rsidRPr="00C96F1A" w:rsidRDefault="00B625AF" w:rsidP="00C96F1A">
      <w:pPr>
        <w:rPr>
          <w:rFonts w:ascii="Arial" w:hAnsi="Arial" w:cs="Arial"/>
        </w:rPr>
      </w:pPr>
      <w:r w:rsidRPr="00C96F1A">
        <w:rPr>
          <w:rFonts w:ascii="Arial" w:hAnsi="Arial" w:cs="Arial"/>
        </w:rPr>
        <w:t xml:space="preserve">In 2018—19, Government Accommodation and Building Policy will play a key role in advancing the </w:t>
      </w:r>
      <w:r w:rsidR="00AB7E10">
        <w:rPr>
          <w:rFonts w:ascii="Arial" w:hAnsi="Arial" w:cs="Arial"/>
        </w:rPr>
        <w:t>g</w:t>
      </w:r>
      <w:r w:rsidRPr="00C96F1A">
        <w:rPr>
          <w:rFonts w:ascii="Arial" w:hAnsi="Arial" w:cs="Arial"/>
        </w:rPr>
        <w:t>overnment’s responsive government priority and support government commitments and priorities by:</w:t>
      </w:r>
    </w:p>
    <w:p w:rsidR="0028598A" w:rsidRPr="005B65D5" w:rsidRDefault="00B625AF" w:rsidP="00D806AE">
      <w:pPr>
        <w:pStyle w:val="ListParagraph"/>
        <w:numPr>
          <w:ilvl w:val="0"/>
          <w:numId w:val="62"/>
        </w:numPr>
        <w:rPr>
          <w:rFonts w:ascii="Arial" w:hAnsi="Arial" w:cs="Arial"/>
        </w:rPr>
      </w:pPr>
      <w:r w:rsidRPr="005B65D5">
        <w:rPr>
          <w:rFonts w:ascii="Arial" w:hAnsi="Arial" w:cs="Arial"/>
        </w:rPr>
        <w:t xml:space="preserve">continuing to implement </w:t>
      </w:r>
      <w:r w:rsidRPr="00AB7E10">
        <w:rPr>
          <w:rFonts w:ascii="Arial" w:hAnsi="Arial" w:cs="Arial"/>
          <w:i/>
        </w:rPr>
        <w:t>Queensland Building Plan initiatives</w:t>
      </w:r>
      <w:r w:rsidRPr="005B65D5">
        <w:rPr>
          <w:rFonts w:ascii="Arial" w:hAnsi="Arial" w:cs="Arial"/>
        </w:rPr>
        <w:t>, including</w:t>
      </w:r>
      <w:r w:rsidR="00C971D5">
        <w:rPr>
          <w:rFonts w:ascii="Arial" w:hAnsi="Arial" w:cs="Arial"/>
        </w:rPr>
        <w:t>:</w:t>
      </w:r>
    </w:p>
    <w:p w:rsidR="0028598A" w:rsidRPr="005B65D5" w:rsidRDefault="00B625AF" w:rsidP="00D806AE">
      <w:pPr>
        <w:pStyle w:val="ListParagraph"/>
        <w:numPr>
          <w:ilvl w:val="0"/>
          <w:numId w:val="63"/>
        </w:numPr>
        <w:rPr>
          <w:rFonts w:ascii="Arial" w:hAnsi="Arial" w:cs="Arial"/>
        </w:rPr>
      </w:pPr>
      <w:r w:rsidRPr="005B65D5">
        <w:rPr>
          <w:rFonts w:ascii="Arial" w:hAnsi="Arial" w:cs="Arial"/>
        </w:rPr>
        <w:t>supporting whole-of-government implementation of Phase 1 of Project Bank Accounts and providing secretariat support to the Building Industry Fairness Reforms Implementation and Evaluation Panel</w:t>
      </w:r>
    </w:p>
    <w:p w:rsidR="0028598A" w:rsidRPr="005B65D5" w:rsidRDefault="00B625AF" w:rsidP="00D806AE">
      <w:pPr>
        <w:pStyle w:val="ListParagraph"/>
        <w:numPr>
          <w:ilvl w:val="0"/>
          <w:numId w:val="63"/>
        </w:numPr>
        <w:rPr>
          <w:rFonts w:ascii="Arial" w:hAnsi="Arial" w:cs="Arial"/>
        </w:rPr>
      </w:pPr>
      <w:r w:rsidRPr="005B65D5">
        <w:rPr>
          <w:rFonts w:ascii="Arial" w:hAnsi="Arial" w:cs="Arial"/>
        </w:rPr>
        <w:t xml:space="preserve">commencing provisions of the </w:t>
      </w:r>
      <w:r w:rsidRPr="005B65D5">
        <w:rPr>
          <w:rFonts w:ascii="Arial" w:hAnsi="Arial" w:cs="Arial"/>
          <w:i/>
        </w:rPr>
        <w:t>Building Industry Fairness (Security of Payment) Act 2017</w:t>
      </w:r>
      <w:r w:rsidRPr="005B65D5">
        <w:rPr>
          <w:rFonts w:ascii="Arial" w:hAnsi="Arial" w:cs="Arial"/>
        </w:rPr>
        <w:t xml:space="preserve"> for progress payments, subcontractors’ charges, and the adjudication registry, and making associated regulations</w:t>
      </w:r>
    </w:p>
    <w:p w:rsidR="0028598A" w:rsidRPr="005B65D5" w:rsidRDefault="00B625AF" w:rsidP="00D806AE">
      <w:pPr>
        <w:pStyle w:val="ListParagraph"/>
        <w:numPr>
          <w:ilvl w:val="0"/>
          <w:numId w:val="63"/>
        </w:numPr>
        <w:rPr>
          <w:rFonts w:ascii="Arial" w:hAnsi="Arial" w:cs="Arial"/>
        </w:rPr>
      </w:pPr>
      <w:r w:rsidRPr="005B65D5">
        <w:rPr>
          <w:rFonts w:ascii="Arial" w:hAnsi="Arial" w:cs="Arial"/>
        </w:rPr>
        <w:t xml:space="preserve">strengthening the </w:t>
      </w:r>
      <w:r w:rsidRPr="005B65D5">
        <w:rPr>
          <w:rFonts w:ascii="Arial" w:hAnsi="Arial" w:cs="Arial"/>
          <w:i/>
        </w:rPr>
        <w:t>Queensland Building and Construction Commission’s Minimum Financial Requirements Policy</w:t>
      </w:r>
      <w:r w:rsidRPr="005B65D5">
        <w:rPr>
          <w:rFonts w:ascii="Arial" w:hAnsi="Arial" w:cs="Arial"/>
        </w:rPr>
        <w:t xml:space="preserve"> and transferring the contents of the policy into a regulation</w:t>
      </w:r>
    </w:p>
    <w:p w:rsidR="0028598A" w:rsidRPr="005B65D5" w:rsidRDefault="00B625AF" w:rsidP="00D806AE">
      <w:pPr>
        <w:pStyle w:val="ListParagraph"/>
        <w:numPr>
          <w:ilvl w:val="0"/>
          <w:numId w:val="63"/>
        </w:numPr>
        <w:rPr>
          <w:rFonts w:ascii="Arial" w:hAnsi="Arial" w:cs="Arial"/>
        </w:rPr>
      </w:pPr>
      <w:r w:rsidRPr="005B65D5">
        <w:rPr>
          <w:rFonts w:ascii="Arial" w:hAnsi="Arial" w:cs="Arial"/>
        </w:rPr>
        <w:lastRenderedPageBreak/>
        <w:t xml:space="preserve">enacting the </w:t>
      </w:r>
      <w:r w:rsidRPr="005B65D5">
        <w:rPr>
          <w:rFonts w:ascii="Arial" w:hAnsi="Arial" w:cs="Arial"/>
          <w:i/>
        </w:rPr>
        <w:t>Plumbing and Drainage Bill 2018</w:t>
      </w:r>
      <w:r w:rsidRPr="005B65D5">
        <w:rPr>
          <w:rFonts w:ascii="Arial" w:hAnsi="Arial" w:cs="Arial"/>
        </w:rPr>
        <w:t xml:space="preserve"> to promote efficiency and improve regulatory processes (saving time and money) while continuing to safeguard public health, safety and the environment</w:t>
      </w:r>
    </w:p>
    <w:p w:rsidR="0028598A" w:rsidRPr="005B65D5" w:rsidRDefault="00B625AF" w:rsidP="00D806AE">
      <w:pPr>
        <w:pStyle w:val="ListParagraph"/>
        <w:numPr>
          <w:ilvl w:val="0"/>
          <w:numId w:val="63"/>
        </w:numPr>
        <w:rPr>
          <w:rFonts w:ascii="Arial" w:hAnsi="Arial" w:cs="Arial"/>
        </w:rPr>
      </w:pPr>
      <w:r w:rsidRPr="005B65D5">
        <w:rPr>
          <w:rFonts w:ascii="Arial" w:hAnsi="Arial" w:cs="Arial"/>
        </w:rPr>
        <w:t>releasing a Regulatory Impact Statement regarding the mechanical services licence</w:t>
      </w:r>
    </w:p>
    <w:p w:rsidR="0028598A" w:rsidRPr="00AB7E10" w:rsidRDefault="00B625AF" w:rsidP="00D806AE">
      <w:pPr>
        <w:pStyle w:val="ListParagraph"/>
        <w:numPr>
          <w:ilvl w:val="0"/>
          <w:numId w:val="63"/>
        </w:numPr>
        <w:rPr>
          <w:rFonts w:ascii="Arial" w:hAnsi="Arial" w:cs="Arial"/>
        </w:rPr>
      </w:pPr>
      <w:r w:rsidRPr="00AB7E10">
        <w:rPr>
          <w:rFonts w:ascii="Arial" w:hAnsi="Arial" w:cs="Arial"/>
        </w:rPr>
        <w:t>leading the development of a common platform for the publication of a single forward</w:t>
      </w:r>
      <w:r w:rsidR="00AB7E10" w:rsidRPr="00AB7E10">
        <w:rPr>
          <w:rFonts w:ascii="Arial" w:hAnsi="Arial" w:cs="Arial"/>
        </w:rPr>
        <w:t xml:space="preserve"> </w:t>
      </w:r>
      <w:r w:rsidRPr="00AB7E10">
        <w:rPr>
          <w:rFonts w:ascii="Arial" w:hAnsi="Arial" w:cs="Arial"/>
        </w:rPr>
        <w:t>procurement pipeline across the six category groups (building construction and maintenance, general goods and services, information and communication technology (ICT) products and services, medical goods and services, social services and transport infrastructure and services), to provide greater value to government through better planning and increased visibility of procurement opportunities for industry</w:t>
      </w:r>
    </w:p>
    <w:p w:rsidR="0028598A" w:rsidRPr="005B65D5" w:rsidRDefault="00B625AF" w:rsidP="00D806AE">
      <w:pPr>
        <w:pStyle w:val="ListParagraph"/>
        <w:numPr>
          <w:ilvl w:val="0"/>
          <w:numId w:val="62"/>
        </w:numPr>
        <w:rPr>
          <w:rFonts w:ascii="Arial" w:hAnsi="Arial" w:cs="Arial"/>
        </w:rPr>
      </w:pPr>
      <w:r w:rsidRPr="005B65D5">
        <w:rPr>
          <w:rFonts w:ascii="Arial" w:hAnsi="Arial" w:cs="Arial"/>
        </w:rPr>
        <w:t xml:space="preserve">continuing to implement Phase 2 of the </w:t>
      </w:r>
      <w:r w:rsidRPr="005B65D5">
        <w:rPr>
          <w:rFonts w:ascii="Arial" w:hAnsi="Arial" w:cs="Arial"/>
          <w:i/>
        </w:rPr>
        <w:t>Brisbane CBD and Fringe Area Government Office Accommodation Strategy 2015–2025</w:t>
      </w:r>
    </w:p>
    <w:p w:rsidR="0028598A" w:rsidRPr="005B65D5" w:rsidRDefault="00B625AF" w:rsidP="00D806AE">
      <w:pPr>
        <w:pStyle w:val="ListParagraph"/>
        <w:numPr>
          <w:ilvl w:val="0"/>
          <w:numId w:val="62"/>
        </w:numPr>
        <w:rPr>
          <w:rFonts w:ascii="Arial" w:hAnsi="Arial" w:cs="Arial"/>
        </w:rPr>
      </w:pPr>
      <w:r w:rsidRPr="005B65D5">
        <w:rPr>
          <w:rFonts w:ascii="Arial" w:hAnsi="Arial" w:cs="Arial"/>
        </w:rPr>
        <w:t>implementing a rolling program of office space efficiency projects to reduce the state’s rental burden across Queensland</w:t>
      </w:r>
    </w:p>
    <w:p w:rsidR="0028598A" w:rsidRPr="005B65D5" w:rsidRDefault="00B625AF" w:rsidP="00D806AE">
      <w:pPr>
        <w:pStyle w:val="ListParagraph"/>
        <w:numPr>
          <w:ilvl w:val="0"/>
          <w:numId w:val="62"/>
        </w:numPr>
        <w:rPr>
          <w:rFonts w:ascii="Arial" w:hAnsi="Arial" w:cs="Arial"/>
        </w:rPr>
      </w:pPr>
      <w:r w:rsidRPr="005B65D5">
        <w:rPr>
          <w:rFonts w:ascii="Arial" w:hAnsi="Arial" w:cs="Arial"/>
        </w:rPr>
        <w:t>delivering 59 new government employee residences to enable the provision of essential government services and retention of skilled government staff.</w:t>
      </w:r>
    </w:p>
    <w:p w:rsidR="003979CD" w:rsidRPr="00C96F1A" w:rsidRDefault="003979CD" w:rsidP="003979CD">
      <w:pPr>
        <w:pStyle w:val="Heading6"/>
      </w:pPr>
      <w:r w:rsidRPr="00C96F1A">
        <w:t>Coordinating disaster response</w:t>
      </w:r>
    </w:p>
    <w:p w:rsidR="003979CD" w:rsidRPr="00C96F1A" w:rsidRDefault="003979CD" w:rsidP="003979CD">
      <w:pPr>
        <w:rPr>
          <w:rFonts w:ascii="Arial" w:hAnsi="Arial" w:cs="Arial"/>
        </w:rPr>
      </w:pPr>
      <w:r>
        <w:rPr>
          <w:rFonts w:ascii="Arial" w:hAnsi="Arial" w:cs="Arial"/>
        </w:rPr>
        <w:t>Due to Machinery of Government changes, t</w:t>
      </w:r>
      <w:r w:rsidRPr="00C96F1A">
        <w:rPr>
          <w:rFonts w:ascii="Arial" w:hAnsi="Arial" w:cs="Arial"/>
        </w:rPr>
        <w:t>he department</w:t>
      </w:r>
      <w:r>
        <w:rPr>
          <w:rFonts w:ascii="Arial" w:hAnsi="Arial" w:cs="Arial"/>
        </w:rPr>
        <w:t xml:space="preserve"> was able to </w:t>
      </w:r>
      <w:r w:rsidRPr="00C96F1A">
        <w:rPr>
          <w:rFonts w:ascii="Arial" w:hAnsi="Arial" w:cs="Arial"/>
        </w:rPr>
        <w:t>expand its capacity to provide assistance to disaster impacted communities, continuing our role as an integral part of Queensland’s disaster management system.</w:t>
      </w:r>
    </w:p>
    <w:p w:rsidR="003979CD" w:rsidRPr="00C96F1A" w:rsidRDefault="003979CD" w:rsidP="003979CD">
      <w:pPr>
        <w:rPr>
          <w:rFonts w:ascii="Arial" w:hAnsi="Arial" w:cs="Arial"/>
        </w:rPr>
      </w:pPr>
      <w:r w:rsidRPr="00C96F1A">
        <w:rPr>
          <w:rFonts w:ascii="Arial" w:hAnsi="Arial" w:cs="Arial"/>
        </w:rPr>
        <w:t>Throughout the year, we actively supported response and recovery activities for declared disasters including the North Queensland floods and Tropical Cyclones Nora, Iris and Linda.</w:t>
      </w:r>
    </w:p>
    <w:p w:rsidR="003979CD" w:rsidRPr="00473495" w:rsidRDefault="003979CD" w:rsidP="003979CD">
      <w:pPr>
        <w:pStyle w:val="Heading6"/>
      </w:pPr>
      <w:r>
        <w:t>Key statistics – Coordinating disaster response</w:t>
      </w:r>
    </w:p>
    <w:p w:rsidR="003979CD" w:rsidRPr="004B7689" w:rsidRDefault="003979CD" w:rsidP="003979CD">
      <w:pPr>
        <w:pStyle w:val="ListParagraph"/>
        <w:numPr>
          <w:ilvl w:val="0"/>
          <w:numId w:val="64"/>
        </w:numPr>
        <w:ind w:left="360"/>
        <w:rPr>
          <w:rFonts w:ascii="Arial" w:hAnsi="Arial" w:cs="Arial"/>
        </w:rPr>
      </w:pPr>
      <w:r w:rsidRPr="004B7689">
        <w:rPr>
          <w:rFonts w:ascii="Arial" w:hAnsi="Arial" w:cs="Arial"/>
        </w:rPr>
        <w:t>3,798 community recovery payments were processed by Queensland Shared Services</w:t>
      </w:r>
    </w:p>
    <w:p w:rsidR="003979CD" w:rsidRPr="004B7689" w:rsidRDefault="003979CD" w:rsidP="003979CD">
      <w:pPr>
        <w:pStyle w:val="ListParagraph"/>
        <w:numPr>
          <w:ilvl w:val="0"/>
          <w:numId w:val="64"/>
        </w:numPr>
        <w:ind w:left="360"/>
        <w:rPr>
          <w:rFonts w:ascii="Arial" w:hAnsi="Arial" w:cs="Arial"/>
        </w:rPr>
      </w:pPr>
      <w:r w:rsidRPr="004B7689">
        <w:rPr>
          <w:rFonts w:ascii="Arial" w:hAnsi="Arial" w:cs="Arial"/>
        </w:rPr>
        <w:t>5,726 SES and Community Recovery calls were taken by Smart Service Queensland</w:t>
      </w:r>
    </w:p>
    <w:p w:rsidR="003979CD" w:rsidRPr="004B7689" w:rsidRDefault="003979CD" w:rsidP="003979CD">
      <w:pPr>
        <w:pStyle w:val="ListParagraph"/>
        <w:numPr>
          <w:ilvl w:val="0"/>
          <w:numId w:val="64"/>
        </w:numPr>
        <w:ind w:left="360"/>
        <w:rPr>
          <w:rFonts w:ascii="Arial" w:hAnsi="Arial" w:cs="Arial"/>
        </w:rPr>
      </w:pPr>
      <w:r w:rsidRPr="004B7689">
        <w:rPr>
          <w:rFonts w:ascii="Arial" w:hAnsi="Arial" w:cs="Arial"/>
        </w:rPr>
        <w:t>11,351 customers accessed information provided at qld.gov.au/alerts</w:t>
      </w:r>
    </w:p>
    <w:p w:rsidR="003979CD" w:rsidRPr="004B7689" w:rsidRDefault="003979CD" w:rsidP="003979CD">
      <w:pPr>
        <w:pStyle w:val="ListParagraph"/>
        <w:numPr>
          <w:ilvl w:val="0"/>
          <w:numId w:val="64"/>
        </w:numPr>
        <w:ind w:left="360"/>
        <w:rPr>
          <w:rFonts w:ascii="Arial" w:hAnsi="Arial" w:cs="Arial"/>
        </w:rPr>
      </w:pPr>
      <w:r w:rsidRPr="004B7689">
        <w:rPr>
          <w:rFonts w:ascii="Arial" w:hAnsi="Arial" w:cs="Arial"/>
        </w:rPr>
        <w:t>28 staff were deployed as part of the Community Recovery Ready Reserve to provide direct support to impacted people</w:t>
      </w:r>
    </w:p>
    <w:p w:rsidR="003979CD" w:rsidRPr="00C96F1A" w:rsidRDefault="003979CD" w:rsidP="003979CD">
      <w:pPr>
        <w:pStyle w:val="ListParagraph"/>
        <w:numPr>
          <w:ilvl w:val="0"/>
          <w:numId w:val="64"/>
        </w:numPr>
        <w:ind w:left="360"/>
        <w:rPr>
          <w:rFonts w:ascii="Arial" w:hAnsi="Arial" w:cs="Arial"/>
        </w:rPr>
      </w:pPr>
      <w:r>
        <w:rPr>
          <w:rFonts w:ascii="Arial" w:hAnsi="Arial" w:cs="Arial"/>
        </w:rPr>
        <w:t xml:space="preserve">32 displaced people </w:t>
      </w:r>
      <w:r w:rsidRPr="00C96F1A">
        <w:rPr>
          <w:rFonts w:ascii="Arial" w:hAnsi="Arial" w:cs="Arial"/>
        </w:rPr>
        <w:t>were assisted with temporary emergency accommodation through Housing and Homelessness Services</w:t>
      </w:r>
    </w:p>
    <w:p w:rsidR="003979CD" w:rsidRPr="00C96F1A" w:rsidRDefault="003979CD" w:rsidP="00C96F1A">
      <w:pPr>
        <w:rPr>
          <w:rFonts w:ascii="Arial" w:hAnsi="Arial" w:cs="Arial"/>
        </w:rPr>
      </w:pPr>
    </w:p>
    <w:p w:rsidR="005B65D5" w:rsidRDefault="005B65D5">
      <w:pPr>
        <w:spacing w:before="0" w:after="0"/>
        <w:rPr>
          <w:rFonts w:ascii="Arial" w:hAnsi="Arial" w:cs="Arial"/>
        </w:rPr>
      </w:pPr>
      <w:r>
        <w:rPr>
          <w:rFonts w:ascii="Arial" w:hAnsi="Arial" w:cs="Arial"/>
        </w:rPr>
        <w:br w:type="page"/>
      </w:r>
    </w:p>
    <w:p w:rsidR="005B65D5" w:rsidRDefault="003E39EB" w:rsidP="003E39EB">
      <w:pPr>
        <w:pStyle w:val="Heading3"/>
      </w:pPr>
      <w:r>
        <w:lastRenderedPageBreak/>
        <w:t>Service Standards</w:t>
      </w:r>
    </w:p>
    <w:tbl>
      <w:tblPr>
        <w:tblW w:w="989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7371"/>
        <w:gridCol w:w="1276"/>
        <w:gridCol w:w="1250"/>
      </w:tblGrid>
      <w:tr w:rsidR="00677265" w:rsidRPr="00A52F16" w:rsidTr="00694D7C">
        <w:trPr>
          <w:tblHeader/>
        </w:trPr>
        <w:tc>
          <w:tcPr>
            <w:tcW w:w="7371" w:type="dxa"/>
            <w:shd w:val="clear" w:color="auto" w:fill="000000" w:themeFill="text1"/>
            <w:vAlign w:val="center"/>
          </w:tcPr>
          <w:p w:rsidR="00677265" w:rsidRPr="00A52F16" w:rsidRDefault="00677265" w:rsidP="00694D7C">
            <w:pPr>
              <w:pStyle w:val="TableTextHeading"/>
              <w:jc w:val="left"/>
              <w:rPr>
                <w:color w:val="FFFFFF" w:themeColor="background1"/>
              </w:rPr>
            </w:pPr>
            <w:bookmarkStart w:id="31" w:name="_Hlk523831250"/>
            <w:r w:rsidRPr="11284B68">
              <w:rPr>
                <w:rFonts w:ascii="Arial,Bold" w:eastAsia="Arial,Bold" w:hAnsi="Arial,Bold" w:cs="Arial,Bold"/>
                <w:color w:val="FFFFFF" w:themeColor="background1"/>
                <w:sz w:val="24"/>
                <w:szCs w:val="24"/>
              </w:rPr>
              <w:t>Government Accommodation and Building Policy Services</w:t>
            </w:r>
          </w:p>
        </w:tc>
        <w:tc>
          <w:tcPr>
            <w:tcW w:w="1276" w:type="dxa"/>
            <w:shd w:val="clear" w:color="auto" w:fill="000000" w:themeFill="text1"/>
            <w:vAlign w:val="center"/>
            <w:hideMark/>
          </w:tcPr>
          <w:p w:rsidR="00677265" w:rsidRPr="00A52F16" w:rsidRDefault="00677265" w:rsidP="00694D7C">
            <w:pPr>
              <w:pStyle w:val="TableTextHeading"/>
              <w:rPr>
                <w:color w:val="FFFFFF" w:themeColor="background1"/>
              </w:rPr>
            </w:pPr>
            <w:r>
              <w:rPr>
                <w:color w:val="FFFFFF" w:themeColor="background1"/>
              </w:rPr>
              <w:t>2017–18</w:t>
            </w:r>
          </w:p>
          <w:p w:rsidR="00677265" w:rsidRPr="00A52F16" w:rsidRDefault="00677265" w:rsidP="00694D7C">
            <w:pPr>
              <w:pStyle w:val="TableTextHeading"/>
              <w:rPr>
                <w:color w:val="FFFFFF" w:themeColor="background1"/>
              </w:rPr>
            </w:pPr>
            <w:r w:rsidRPr="11284B68">
              <w:rPr>
                <w:color w:val="FFFFFF" w:themeColor="background1"/>
              </w:rPr>
              <w:t>Target/Est.</w:t>
            </w:r>
          </w:p>
        </w:tc>
        <w:tc>
          <w:tcPr>
            <w:tcW w:w="1250" w:type="dxa"/>
            <w:shd w:val="clear" w:color="auto" w:fill="000000" w:themeFill="text1"/>
            <w:vAlign w:val="center"/>
            <w:hideMark/>
          </w:tcPr>
          <w:p w:rsidR="00677265" w:rsidRPr="00A52F16" w:rsidRDefault="00677265" w:rsidP="00694D7C">
            <w:pPr>
              <w:pStyle w:val="TableTextHeading"/>
              <w:rPr>
                <w:color w:val="FFFFFF" w:themeColor="background1"/>
              </w:rPr>
            </w:pPr>
            <w:r>
              <w:rPr>
                <w:color w:val="FFFFFF" w:themeColor="background1"/>
              </w:rPr>
              <w:t>2017–18</w:t>
            </w:r>
          </w:p>
          <w:p w:rsidR="00677265" w:rsidRPr="00A52F16" w:rsidRDefault="00677265" w:rsidP="00694D7C">
            <w:pPr>
              <w:pStyle w:val="TableTextHeading"/>
              <w:rPr>
                <w:color w:val="FFFFFF" w:themeColor="background1"/>
              </w:rPr>
            </w:pPr>
            <w:r w:rsidRPr="11284B68">
              <w:rPr>
                <w:color w:val="FFFFFF" w:themeColor="background1"/>
              </w:rPr>
              <w:t>Actual</w:t>
            </w:r>
          </w:p>
        </w:tc>
      </w:tr>
      <w:tr w:rsidR="00677265" w:rsidRPr="00246DD9" w:rsidTr="00694D7C">
        <w:tc>
          <w:tcPr>
            <w:tcW w:w="7371" w:type="dxa"/>
            <w:shd w:val="clear" w:color="auto" w:fill="D9D9D9" w:themeFill="background1" w:themeFillShade="D9"/>
            <w:vAlign w:val="bottom"/>
          </w:tcPr>
          <w:p w:rsidR="00677265" w:rsidRPr="006E3426" w:rsidRDefault="00677265" w:rsidP="00694D7C">
            <w:pPr>
              <w:pStyle w:val="TableTextBold"/>
            </w:pPr>
            <w:r>
              <w:t>Effectiveness measures</w:t>
            </w:r>
          </w:p>
        </w:tc>
        <w:tc>
          <w:tcPr>
            <w:tcW w:w="1276" w:type="dxa"/>
            <w:shd w:val="clear" w:color="auto" w:fill="D9D9D9" w:themeFill="background1" w:themeFillShade="D9"/>
          </w:tcPr>
          <w:p w:rsidR="00677265" w:rsidRPr="00994A8B" w:rsidRDefault="00677265" w:rsidP="00694D7C">
            <w:pPr>
              <w:pStyle w:val="TableTextRight"/>
            </w:pPr>
          </w:p>
        </w:tc>
        <w:tc>
          <w:tcPr>
            <w:tcW w:w="1250" w:type="dxa"/>
            <w:shd w:val="clear" w:color="auto" w:fill="D9D9D9" w:themeFill="background1" w:themeFillShade="D9"/>
          </w:tcPr>
          <w:p w:rsidR="00677265" w:rsidRDefault="00677265" w:rsidP="00694D7C">
            <w:pPr>
              <w:pStyle w:val="TableTextRight"/>
            </w:pPr>
          </w:p>
        </w:tc>
      </w:tr>
      <w:tr w:rsidR="00677265" w:rsidRPr="00246DD9" w:rsidTr="00694D7C">
        <w:tc>
          <w:tcPr>
            <w:tcW w:w="7371" w:type="dxa"/>
            <w:vAlign w:val="bottom"/>
            <w:hideMark/>
          </w:tcPr>
          <w:p w:rsidR="00677265" w:rsidRPr="006E3426" w:rsidRDefault="00677265" w:rsidP="00694D7C">
            <w:pPr>
              <w:pStyle w:val="TableTextBold"/>
            </w:pPr>
            <w:r w:rsidRPr="006E3426">
              <w:t>Return on investment</w:t>
            </w:r>
          </w:p>
          <w:p w:rsidR="00677265" w:rsidRPr="00677265" w:rsidRDefault="00677265" w:rsidP="003979CD">
            <w:pPr>
              <w:pStyle w:val="Tabletextindent"/>
              <w:ind w:left="0"/>
            </w:pPr>
            <w:r>
              <w:t>C</w:t>
            </w:r>
            <w:r w:rsidRPr="006E3426">
              <w:t>ommercial properties included in the office portfolio</w:t>
            </w:r>
          </w:p>
        </w:tc>
        <w:tc>
          <w:tcPr>
            <w:tcW w:w="1276" w:type="dxa"/>
          </w:tcPr>
          <w:p w:rsidR="00677265" w:rsidRPr="00246DD9" w:rsidRDefault="00677265" w:rsidP="00694D7C">
            <w:pPr>
              <w:pStyle w:val="TableTextRight"/>
            </w:pPr>
            <w:r w:rsidRPr="00994A8B">
              <w:t>≥6.5%</w:t>
            </w:r>
          </w:p>
        </w:tc>
        <w:tc>
          <w:tcPr>
            <w:tcW w:w="1250" w:type="dxa"/>
          </w:tcPr>
          <w:p w:rsidR="00677265" w:rsidRPr="00246DD9" w:rsidRDefault="00677265" w:rsidP="00694D7C">
            <w:pPr>
              <w:pStyle w:val="TableTextRight"/>
            </w:pPr>
            <w:r>
              <w:t>6.</w:t>
            </w:r>
            <w:r w:rsidR="00420465">
              <w:t>7</w:t>
            </w:r>
            <w:r>
              <w:t>%</w:t>
            </w:r>
          </w:p>
        </w:tc>
      </w:tr>
      <w:tr w:rsidR="00677265" w:rsidRPr="00246DD9" w:rsidTr="00694D7C">
        <w:tc>
          <w:tcPr>
            <w:tcW w:w="7371" w:type="dxa"/>
            <w:vAlign w:val="bottom"/>
            <w:hideMark/>
          </w:tcPr>
          <w:p w:rsidR="00677265" w:rsidRPr="00677265" w:rsidRDefault="00677265" w:rsidP="003979CD">
            <w:pPr>
              <w:pStyle w:val="TableText"/>
              <w:rPr>
                <w:rStyle w:val="Bold"/>
                <w:rFonts w:ascii="Arial Narrow" w:eastAsia="Arial Narrow" w:hAnsi="Arial Narrow" w:cs="Arial Narrow"/>
                <w:b w:val="0"/>
                <w:i/>
                <w:sz w:val="16"/>
                <w:szCs w:val="16"/>
              </w:rPr>
            </w:pPr>
            <w:r w:rsidRPr="00677265">
              <w:rPr>
                <w:rStyle w:val="Bold"/>
                <w:b w:val="0"/>
              </w:rPr>
              <w:t>Government employee housing</w:t>
            </w:r>
          </w:p>
        </w:tc>
        <w:tc>
          <w:tcPr>
            <w:tcW w:w="1276" w:type="dxa"/>
          </w:tcPr>
          <w:p w:rsidR="00677265" w:rsidRPr="00246DD9" w:rsidRDefault="00677265" w:rsidP="00694D7C">
            <w:pPr>
              <w:pStyle w:val="TableTextRight"/>
            </w:pPr>
            <w:r w:rsidRPr="00994A8B">
              <w:t>≥1.5%</w:t>
            </w:r>
          </w:p>
        </w:tc>
        <w:tc>
          <w:tcPr>
            <w:tcW w:w="1250" w:type="dxa"/>
          </w:tcPr>
          <w:p w:rsidR="00677265" w:rsidRPr="00246DD9" w:rsidRDefault="00677265" w:rsidP="00694D7C">
            <w:pPr>
              <w:pStyle w:val="TableTextRight"/>
            </w:pPr>
            <w:r>
              <w:t>1.6%</w:t>
            </w:r>
          </w:p>
        </w:tc>
      </w:tr>
      <w:tr w:rsidR="00677265" w:rsidRPr="00246DD9" w:rsidTr="00694D7C">
        <w:tc>
          <w:tcPr>
            <w:tcW w:w="7371" w:type="dxa"/>
            <w:vAlign w:val="bottom"/>
          </w:tcPr>
          <w:p w:rsidR="00677265" w:rsidRPr="00A97AE6" w:rsidRDefault="00677265" w:rsidP="00694D7C">
            <w:pPr>
              <w:rPr>
                <w:b/>
                <w:bCs/>
              </w:rPr>
            </w:pPr>
            <w:r w:rsidRPr="001A70A7">
              <w:rPr>
                <w:b/>
                <w:bCs/>
              </w:rPr>
              <w:t>Vacancy rate</w:t>
            </w:r>
          </w:p>
          <w:p w:rsidR="00677265" w:rsidRDefault="00677265" w:rsidP="003979CD">
            <w:pPr>
              <w:pStyle w:val="Tabletextindent"/>
              <w:ind w:left="0"/>
            </w:pPr>
            <w:r w:rsidRPr="006E3426">
              <w:t>office portfolio</w:t>
            </w:r>
          </w:p>
          <w:p w:rsidR="00677265" w:rsidRPr="00677265" w:rsidRDefault="00677265" w:rsidP="003979CD">
            <w:pPr>
              <w:pStyle w:val="TableText"/>
              <w:rPr>
                <w:rFonts w:ascii="Arial Narrow" w:hAnsi="Arial Narrow" w:cs="Calibri"/>
                <w:i/>
                <w:iCs/>
                <w:sz w:val="16"/>
                <w:szCs w:val="16"/>
              </w:rPr>
            </w:pPr>
            <w:r w:rsidRPr="00677265">
              <w:rPr>
                <w:rFonts w:ascii="Arial Narrow" w:hAnsi="Arial Narrow" w:cs="Calibri"/>
                <w:i/>
                <w:iCs/>
                <w:sz w:val="16"/>
                <w:szCs w:val="16"/>
              </w:rPr>
              <w:t xml:space="preserve">Variance between 2017–18 Target/Estimate and 2017–18 Actual resulted from DHPW’s effective vacancy management through central coordination of the provision of office space, and the prioritisation for agencies to occupy existing vacant space extending existing leased space before taking up additional leased space. </w:t>
            </w:r>
          </w:p>
        </w:tc>
        <w:tc>
          <w:tcPr>
            <w:tcW w:w="1276" w:type="dxa"/>
          </w:tcPr>
          <w:p w:rsidR="00677265" w:rsidRPr="00246DD9" w:rsidRDefault="00677265" w:rsidP="00694D7C">
            <w:pPr>
              <w:pStyle w:val="TableTextRight"/>
            </w:pPr>
            <w:r w:rsidRPr="00994A8B">
              <w:t>≤</w:t>
            </w:r>
            <w:r>
              <w:t>3.5</w:t>
            </w:r>
            <w:r w:rsidRPr="00994A8B">
              <w:t>%</w:t>
            </w:r>
          </w:p>
        </w:tc>
        <w:tc>
          <w:tcPr>
            <w:tcW w:w="1250" w:type="dxa"/>
          </w:tcPr>
          <w:p w:rsidR="00677265" w:rsidRPr="00246DD9" w:rsidRDefault="00677265" w:rsidP="00694D7C">
            <w:pPr>
              <w:pStyle w:val="TableTextRight"/>
            </w:pPr>
            <w:r>
              <w:t>1.</w:t>
            </w:r>
            <w:r w:rsidR="00420465">
              <w:t>3</w:t>
            </w:r>
            <w:r>
              <w:t>%</w:t>
            </w:r>
          </w:p>
        </w:tc>
      </w:tr>
      <w:tr w:rsidR="00677265" w:rsidRPr="00246DD9" w:rsidTr="00694D7C">
        <w:tc>
          <w:tcPr>
            <w:tcW w:w="7371" w:type="dxa"/>
            <w:vAlign w:val="bottom"/>
          </w:tcPr>
          <w:p w:rsidR="00677265" w:rsidRDefault="00677265" w:rsidP="003979CD">
            <w:pPr>
              <w:pStyle w:val="Tabletextindent"/>
              <w:ind w:left="0"/>
            </w:pPr>
            <w:r w:rsidRPr="006E3426">
              <w:t>government employee housing</w:t>
            </w:r>
          </w:p>
          <w:p w:rsidR="00677265" w:rsidRPr="00677265" w:rsidRDefault="00677265" w:rsidP="003979CD">
            <w:pPr>
              <w:pStyle w:val="TableText"/>
              <w:rPr>
                <w:rFonts w:ascii="Arial Narrow" w:hAnsi="Arial Narrow" w:cs="Calibri"/>
                <w:i/>
                <w:iCs/>
                <w:sz w:val="16"/>
                <w:szCs w:val="16"/>
              </w:rPr>
            </w:pPr>
            <w:r w:rsidRPr="00677265">
              <w:rPr>
                <w:rFonts w:ascii="Arial Narrow" w:hAnsi="Arial Narrow" w:cs="Calibri"/>
                <w:i/>
                <w:iCs/>
                <w:sz w:val="16"/>
                <w:szCs w:val="16"/>
              </w:rPr>
              <w:t xml:space="preserve">Variance between 2017–18 Target/Estimate and 2017–18 Actual resulted from DHPW effectively managing vacancies by working with client agencies to identify suitable properties which meet their needs and leasing (where appropriate) to the private sector increasing use of residences. </w:t>
            </w:r>
          </w:p>
        </w:tc>
        <w:tc>
          <w:tcPr>
            <w:tcW w:w="1276" w:type="dxa"/>
          </w:tcPr>
          <w:p w:rsidR="00677265" w:rsidRPr="00246DD9" w:rsidRDefault="00677265" w:rsidP="00694D7C">
            <w:pPr>
              <w:pStyle w:val="TableTextRight"/>
            </w:pPr>
            <w:r w:rsidRPr="00994A8B">
              <w:t>≤</w:t>
            </w:r>
            <w:r>
              <w:t>6</w:t>
            </w:r>
            <w:r w:rsidRPr="00994A8B">
              <w:t>%</w:t>
            </w:r>
          </w:p>
        </w:tc>
        <w:tc>
          <w:tcPr>
            <w:tcW w:w="1250" w:type="dxa"/>
          </w:tcPr>
          <w:p w:rsidR="00677265" w:rsidRPr="00246DD9" w:rsidRDefault="00677265" w:rsidP="00694D7C">
            <w:pPr>
              <w:pStyle w:val="TableTextRight"/>
            </w:pPr>
            <w:r>
              <w:t>5.3%</w:t>
            </w:r>
          </w:p>
        </w:tc>
      </w:tr>
      <w:tr w:rsidR="00677265" w:rsidRPr="00246DD9" w:rsidTr="00694D7C">
        <w:tc>
          <w:tcPr>
            <w:tcW w:w="7371" w:type="dxa"/>
            <w:vAlign w:val="bottom"/>
          </w:tcPr>
          <w:p w:rsidR="00677265" w:rsidRPr="006E3426" w:rsidRDefault="00677265" w:rsidP="00694D7C">
            <w:pPr>
              <w:pStyle w:val="Tabletextindent"/>
              <w:ind w:left="0"/>
            </w:pPr>
            <w:r w:rsidRPr="00584E29">
              <w:t>Percentage of government-owned employee housing with an acceptable facility condition index rating</w:t>
            </w:r>
          </w:p>
        </w:tc>
        <w:tc>
          <w:tcPr>
            <w:tcW w:w="1276" w:type="dxa"/>
          </w:tcPr>
          <w:p w:rsidR="00677265" w:rsidRPr="00994A8B" w:rsidRDefault="00677265" w:rsidP="00694D7C">
            <w:pPr>
              <w:pStyle w:val="TableTextRight"/>
            </w:pPr>
            <w:r w:rsidRPr="00994A8B">
              <w:t>≤</w:t>
            </w:r>
            <w:r>
              <w:t>90%</w:t>
            </w:r>
          </w:p>
        </w:tc>
        <w:tc>
          <w:tcPr>
            <w:tcW w:w="1250" w:type="dxa"/>
          </w:tcPr>
          <w:p w:rsidR="00677265" w:rsidRDefault="00677265" w:rsidP="00694D7C">
            <w:pPr>
              <w:pStyle w:val="TableTextRight"/>
            </w:pPr>
            <w:r>
              <w:t>91%</w:t>
            </w:r>
          </w:p>
        </w:tc>
      </w:tr>
      <w:tr w:rsidR="00677265" w:rsidRPr="00246DD9" w:rsidTr="00694D7C">
        <w:tc>
          <w:tcPr>
            <w:tcW w:w="7371" w:type="dxa"/>
            <w:vAlign w:val="bottom"/>
          </w:tcPr>
          <w:p w:rsidR="00677265" w:rsidRDefault="00677265" w:rsidP="00694D7C">
            <w:pPr>
              <w:pStyle w:val="Tabletextindent"/>
              <w:ind w:left="0"/>
            </w:pPr>
            <w:r w:rsidRPr="00584E29">
              <w:t>Energy performance – percentage of occupied government office accommodation achieving a rating ≥ 4 star under the National Australian Built Environmental Rating System</w:t>
            </w:r>
          </w:p>
          <w:p w:rsidR="00677265" w:rsidRPr="00677265" w:rsidRDefault="00677265" w:rsidP="003979CD">
            <w:pPr>
              <w:pStyle w:val="TableText"/>
              <w:rPr>
                <w:rFonts w:ascii="Arial Narrow" w:hAnsi="Arial Narrow" w:cs="Calibri"/>
                <w:i/>
                <w:iCs/>
                <w:sz w:val="16"/>
                <w:szCs w:val="16"/>
              </w:rPr>
            </w:pPr>
            <w:r w:rsidRPr="00677265">
              <w:rPr>
                <w:rFonts w:ascii="Arial Narrow" w:hAnsi="Arial Narrow" w:cs="Calibri"/>
                <w:i/>
                <w:iCs/>
                <w:sz w:val="16"/>
                <w:szCs w:val="16"/>
              </w:rPr>
              <w:t xml:space="preserve">Variance between 2017–18 Target/Estimate and 2017–18 Actual resulted from changes in the portfolio mix during 2017–18 that increased the proportion of space with better energy efficiency. </w:t>
            </w:r>
          </w:p>
        </w:tc>
        <w:tc>
          <w:tcPr>
            <w:tcW w:w="1276" w:type="dxa"/>
          </w:tcPr>
          <w:p w:rsidR="00677265" w:rsidRPr="00994A8B" w:rsidRDefault="00677265" w:rsidP="00694D7C">
            <w:pPr>
              <w:pStyle w:val="TableTextRight"/>
            </w:pPr>
            <w:r w:rsidRPr="001A70A7">
              <w:t>&gt;80%</w:t>
            </w:r>
          </w:p>
        </w:tc>
        <w:tc>
          <w:tcPr>
            <w:tcW w:w="1250" w:type="dxa"/>
          </w:tcPr>
          <w:p w:rsidR="00677265" w:rsidRDefault="00677265" w:rsidP="00694D7C">
            <w:pPr>
              <w:pStyle w:val="TableTextRight"/>
            </w:pPr>
            <w:r>
              <w:t>95%</w:t>
            </w:r>
          </w:p>
        </w:tc>
      </w:tr>
      <w:tr w:rsidR="00677265" w:rsidRPr="00246DD9" w:rsidTr="00694D7C">
        <w:tc>
          <w:tcPr>
            <w:tcW w:w="7371" w:type="dxa"/>
            <w:shd w:val="clear" w:color="auto" w:fill="D9D9D9" w:themeFill="background1" w:themeFillShade="D9"/>
            <w:vAlign w:val="center"/>
          </w:tcPr>
          <w:p w:rsidR="00677265" w:rsidRPr="00F11AF4" w:rsidRDefault="00677265" w:rsidP="00694D7C">
            <w:pPr>
              <w:pStyle w:val="TableTextBold"/>
            </w:pPr>
            <w:r w:rsidRPr="009052FB">
              <w:t>Efficiency measures</w:t>
            </w:r>
          </w:p>
        </w:tc>
        <w:tc>
          <w:tcPr>
            <w:tcW w:w="1276" w:type="dxa"/>
            <w:shd w:val="clear" w:color="auto" w:fill="D9D9D9" w:themeFill="background1" w:themeFillShade="D9"/>
            <w:vAlign w:val="center"/>
          </w:tcPr>
          <w:p w:rsidR="00677265" w:rsidRPr="00994A8B" w:rsidRDefault="00677265" w:rsidP="00694D7C">
            <w:pPr>
              <w:pStyle w:val="TableTextRight"/>
              <w:jc w:val="left"/>
            </w:pPr>
          </w:p>
        </w:tc>
        <w:tc>
          <w:tcPr>
            <w:tcW w:w="1250" w:type="dxa"/>
            <w:shd w:val="clear" w:color="auto" w:fill="D9D9D9" w:themeFill="background1" w:themeFillShade="D9"/>
            <w:vAlign w:val="center"/>
          </w:tcPr>
          <w:p w:rsidR="00677265" w:rsidRPr="005527C0" w:rsidRDefault="00677265" w:rsidP="00694D7C">
            <w:pPr>
              <w:pStyle w:val="TableTextRight"/>
              <w:jc w:val="left"/>
            </w:pPr>
          </w:p>
        </w:tc>
      </w:tr>
      <w:tr w:rsidR="00677265" w:rsidRPr="00246DD9" w:rsidTr="00694D7C">
        <w:tc>
          <w:tcPr>
            <w:tcW w:w="7371" w:type="dxa"/>
            <w:vAlign w:val="bottom"/>
            <w:hideMark/>
          </w:tcPr>
          <w:p w:rsidR="00677265" w:rsidRPr="00F11AF4" w:rsidRDefault="00677265" w:rsidP="00694D7C">
            <w:r w:rsidRPr="00F11AF4">
              <w:t>Work point density</w:t>
            </w:r>
          </w:p>
          <w:p w:rsidR="00677265" w:rsidRPr="00246DD9" w:rsidRDefault="00677265" w:rsidP="003979CD">
            <w:pPr>
              <w:pStyle w:val="Tabletextindent"/>
              <w:ind w:left="0"/>
            </w:pPr>
            <w:r>
              <w:t>A</w:t>
            </w:r>
            <w:r w:rsidRPr="00F11AF4">
              <w:t>verage</w:t>
            </w:r>
            <w:r w:rsidRPr="00246DD9">
              <w:t xml:space="preserve"> </w:t>
            </w:r>
          </w:p>
        </w:tc>
        <w:tc>
          <w:tcPr>
            <w:tcW w:w="1276" w:type="dxa"/>
            <w:vAlign w:val="bottom"/>
          </w:tcPr>
          <w:p w:rsidR="00677265" w:rsidRPr="00994A8B" w:rsidRDefault="00677265" w:rsidP="00694D7C">
            <w:pPr>
              <w:pStyle w:val="TableTextRight"/>
            </w:pPr>
            <w:r w:rsidRPr="00994A8B">
              <w:t>13.5m² per</w:t>
            </w:r>
          </w:p>
          <w:p w:rsidR="00677265" w:rsidRPr="00246DD9" w:rsidRDefault="00677265" w:rsidP="00694D7C">
            <w:pPr>
              <w:pStyle w:val="TableTextRight"/>
            </w:pPr>
            <w:r w:rsidRPr="00994A8B">
              <w:t>person</w:t>
            </w:r>
          </w:p>
        </w:tc>
        <w:tc>
          <w:tcPr>
            <w:tcW w:w="1250" w:type="dxa"/>
            <w:vAlign w:val="bottom"/>
          </w:tcPr>
          <w:p w:rsidR="00677265" w:rsidRPr="005527C0" w:rsidRDefault="00677265" w:rsidP="00694D7C">
            <w:pPr>
              <w:pStyle w:val="TableTextRight"/>
            </w:pPr>
            <w:r w:rsidRPr="005527C0">
              <w:t>13.5m² per</w:t>
            </w:r>
          </w:p>
          <w:p w:rsidR="00677265" w:rsidRPr="00246DD9" w:rsidRDefault="00677265" w:rsidP="00694D7C">
            <w:pPr>
              <w:pStyle w:val="TableTextRight"/>
            </w:pPr>
            <w:r w:rsidRPr="005527C0">
              <w:t>person</w:t>
            </w:r>
          </w:p>
        </w:tc>
      </w:tr>
      <w:tr w:rsidR="00677265" w:rsidRPr="00246DD9" w:rsidTr="00694D7C">
        <w:tc>
          <w:tcPr>
            <w:tcW w:w="7371" w:type="dxa"/>
            <w:vAlign w:val="bottom"/>
            <w:hideMark/>
          </w:tcPr>
          <w:p w:rsidR="00677265" w:rsidRPr="00246DD9" w:rsidRDefault="00677265" w:rsidP="003979CD">
            <w:pPr>
              <w:pStyle w:val="Tabletextindent"/>
              <w:ind w:left="0"/>
            </w:pPr>
            <w:r>
              <w:t>New fitout</w:t>
            </w:r>
            <w:r w:rsidRPr="0F237253">
              <w:t xml:space="preserve"> </w:t>
            </w:r>
          </w:p>
        </w:tc>
        <w:tc>
          <w:tcPr>
            <w:tcW w:w="1276" w:type="dxa"/>
            <w:vAlign w:val="bottom"/>
          </w:tcPr>
          <w:p w:rsidR="00677265" w:rsidRPr="00994A8B" w:rsidRDefault="00677265" w:rsidP="00694D7C">
            <w:pPr>
              <w:pStyle w:val="TableTextRight"/>
            </w:pPr>
            <w:r w:rsidRPr="00994A8B">
              <w:t>12</w:t>
            </w:r>
            <w:r w:rsidR="004B0131">
              <w:t>.0</w:t>
            </w:r>
            <w:r w:rsidRPr="00994A8B">
              <w:t>m² per</w:t>
            </w:r>
          </w:p>
          <w:p w:rsidR="00677265" w:rsidRPr="00246DD9" w:rsidRDefault="00677265" w:rsidP="00694D7C">
            <w:pPr>
              <w:pStyle w:val="TableTextRight"/>
            </w:pPr>
            <w:r w:rsidRPr="00994A8B">
              <w:t>person</w:t>
            </w:r>
          </w:p>
        </w:tc>
        <w:tc>
          <w:tcPr>
            <w:tcW w:w="1250" w:type="dxa"/>
            <w:vAlign w:val="bottom"/>
          </w:tcPr>
          <w:p w:rsidR="00677265" w:rsidRPr="005527C0" w:rsidRDefault="00677265" w:rsidP="00694D7C">
            <w:pPr>
              <w:pStyle w:val="TableTextRight"/>
            </w:pPr>
            <w:r w:rsidRPr="005527C0">
              <w:t>12</w:t>
            </w:r>
            <w:r>
              <w:t>.4</w:t>
            </w:r>
            <w:r w:rsidRPr="005527C0">
              <w:t>m² per</w:t>
            </w:r>
          </w:p>
          <w:p w:rsidR="00677265" w:rsidRPr="00246DD9" w:rsidRDefault="00677265" w:rsidP="00694D7C">
            <w:pPr>
              <w:pStyle w:val="TableTextRight"/>
            </w:pPr>
            <w:r w:rsidRPr="005527C0">
              <w:t>person</w:t>
            </w:r>
          </w:p>
        </w:tc>
      </w:tr>
      <w:bookmarkEnd w:id="31"/>
    </w:tbl>
    <w:p w:rsidR="0028598A" w:rsidRPr="00C96F1A" w:rsidRDefault="0028598A" w:rsidP="00C96F1A">
      <w:pPr>
        <w:rPr>
          <w:rFonts w:ascii="Arial" w:hAnsi="Arial" w:cs="Arial"/>
        </w:rPr>
      </w:pPr>
    </w:p>
    <w:p w:rsidR="0028598A" w:rsidRPr="00C96F1A" w:rsidRDefault="00B625AF" w:rsidP="00247724">
      <w:pPr>
        <w:pStyle w:val="Heading2"/>
      </w:pPr>
      <w:r w:rsidRPr="00C96F1A">
        <w:br w:type="column"/>
      </w:r>
      <w:bookmarkStart w:id="32" w:name="_Toc528845962"/>
      <w:r w:rsidRPr="00C96F1A">
        <w:lastRenderedPageBreak/>
        <w:t>Procurement Services</w:t>
      </w:r>
      <w:bookmarkEnd w:id="32"/>
    </w:p>
    <w:p w:rsidR="0028598A" w:rsidRPr="00C96F1A" w:rsidRDefault="00B625AF" w:rsidP="00225D37">
      <w:pPr>
        <w:pStyle w:val="Heading3"/>
      </w:pPr>
      <w:r w:rsidRPr="00C96F1A">
        <w:t>Our objective</w:t>
      </w:r>
    </w:p>
    <w:p w:rsidR="0028598A" w:rsidRPr="00C96F1A" w:rsidRDefault="00B625AF" w:rsidP="00C96F1A">
      <w:pPr>
        <w:rPr>
          <w:rFonts w:ascii="Arial" w:hAnsi="Arial" w:cs="Arial"/>
        </w:rPr>
      </w:pPr>
      <w:r w:rsidRPr="00C96F1A">
        <w:rPr>
          <w:rFonts w:ascii="Arial" w:hAnsi="Arial" w:cs="Arial"/>
        </w:rPr>
        <w:t>To provide expert advisory, enabling and support services to agencies, suppliers and the community in the achievement of procurement outcomes.</w:t>
      </w:r>
    </w:p>
    <w:p w:rsidR="0028598A" w:rsidRPr="00C96F1A" w:rsidRDefault="00B625AF" w:rsidP="00225D37">
      <w:pPr>
        <w:pStyle w:val="Heading3"/>
      </w:pPr>
      <w:r w:rsidRPr="00C96F1A">
        <w:t>What we do</w:t>
      </w:r>
    </w:p>
    <w:p w:rsidR="00126E37" w:rsidRPr="00C96F1A" w:rsidRDefault="00B625AF" w:rsidP="00126E37">
      <w:pPr>
        <w:rPr>
          <w:rFonts w:ascii="Arial" w:hAnsi="Arial" w:cs="Arial"/>
        </w:rPr>
      </w:pPr>
      <w:r w:rsidRPr="00C96F1A">
        <w:rPr>
          <w:rFonts w:ascii="Arial" w:hAnsi="Arial" w:cs="Arial"/>
        </w:rPr>
        <w:t>Queensland Government Procurement leads the development of policy and strategy supporting the Government’s $18 billion spend. It provides expert advice on complex and contentious procurement. It also leads capability strategy, the performance reporting management framework, and systems support as well as providing governance of the Queensland Government procurement system. It provides expert advice to stakeholders</w:t>
      </w:r>
      <w:r w:rsidR="00126E37">
        <w:rPr>
          <w:rFonts w:ascii="Arial" w:hAnsi="Arial" w:cs="Arial"/>
        </w:rPr>
        <w:t xml:space="preserve"> </w:t>
      </w:r>
      <w:r w:rsidR="00126E37" w:rsidRPr="00C96F1A">
        <w:rPr>
          <w:rFonts w:ascii="Arial" w:hAnsi="Arial" w:cs="Arial"/>
        </w:rPr>
        <w:t>and helps enable agencies to achieve their procurement outcomes by sharing procurement information, best practice and innovation; developing whole-of-government frameworks in areas including capability, accreditation and performance; and working with agencies to reduce the cost of doing business with the Queensland Government.</w:t>
      </w:r>
    </w:p>
    <w:p w:rsidR="004B0131" w:rsidRPr="00473495" w:rsidRDefault="004B0131" w:rsidP="00225D37">
      <w:pPr>
        <w:pStyle w:val="Heading3"/>
      </w:pPr>
      <w:r>
        <w:t>Key statistics</w:t>
      </w:r>
    </w:p>
    <w:p w:rsidR="004B0131" w:rsidRPr="004B0131" w:rsidRDefault="004B0131" w:rsidP="00D806AE">
      <w:pPr>
        <w:pStyle w:val="ListParagraph"/>
        <w:numPr>
          <w:ilvl w:val="0"/>
          <w:numId w:val="65"/>
        </w:numPr>
        <w:rPr>
          <w:rFonts w:ascii="Arial" w:hAnsi="Arial" w:cs="Arial"/>
        </w:rPr>
      </w:pPr>
      <w:r w:rsidRPr="004B0131">
        <w:rPr>
          <w:rFonts w:ascii="Arial" w:hAnsi="Arial" w:cs="Arial"/>
        </w:rPr>
        <w:t>437,000 small to medium businesses call Queensland home</w:t>
      </w:r>
    </w:p>
    <w:p w:rsidR="004B0131" w:rsidRPr="004B0131" w:rsidRDefault="00B625AF" w:rsidP="00D806AE">
      <w:pPr>
        <w:pStyle w:val="ListParagraph"/>
        <w:numPr>
          <w:ilvl w:val="0"/>
          <w:numId w:val="65"/>
        </w:numPr>
        <w:rPr>
          <w:rFonts w:ascii="Arial" w:hAnsi="Arial" w:cs="Arial"/>
        </w:rPr>
      </w:pPr>
      <w:r w:rsidRPr="004B0131">
        <w:rPr>
          <w:rFonts w:ascii="Arial" w:hAnsi="Arial" w:cs="Arial"/>
        </w:rPr>
        <w:t>83%</w:t>
      </w:r>
      <w:r w:rsidR="004B0131" w:rsidRPr="004B0131">
        <w:rPr>
          <w:rFonts w:ascii="Arial" w:hAnsi="Arial" w:cs="Arial"/>
        </w:rPr>
        <w:t xml:space="preserve"> of Queensland Government contracts awarded through QTenders have been to Queensland businesses</w:t>
      </w:r>
    </w:p>
    <w:p w:rsidR="00F337DB" w:rsidRDefault="004B0131" w:rsidP="00225D37">
      <w:pPr>
        <w:pStyle w:val="Heading6"/>
      </w:pPr>
      <w:r w:rsidRPr="00225D37">
        <w:t>Making it easier to do business</w:t>
      </w:r>
    </w:p>
    <w:p w:rsidR="00126E37" w:rsidRPr="00F337DB" w:rsidRDefault="004B0131" w:rsidP="00225D37">
      <w:pPr>
        <w:pStyle w:val="Heading6"/>
        <w:rPr>
          <w:rStyle w:val="Heading4Char"/>
          <w:b/>
          <w:bCs/>
          <w:sz w:val="22"/>
          <w:szCs w:val="22"/>
        </w:rPr>
      </w:pPr>
      <w:r w:rsidRPr="00F337DB">
        <w:rPr>
          <w:b w:val="0"/>
        </w:rPr>
        <w:t xml:space="preserve">- Already, </w:t>
      </w:r>
      <w:r w:rsidRPr="00F337DB">
        <w:rPr>
          <w:b w:val="0"/>
          <w:i/>
        </w:rPr>
        <w:t>Buy Queensland</w:t>
      </w:r>
      <w:r w:rsidRPr="00F337DB">
        <w:rPr>
          <w:b w:val="0"/>
        </w:rPr>
        <w:t xml:space="preserve"> is making a difference to local businesses.</w:t>
      </w:r>
    </w:p>
    <w:p w:rsidR="00126E37" w:rsidRPr="00C96F1A" w:rsidRDefault="00126E37" w:rsidP="00126E37">
      <w:pPr>
        <w:rPr>
          <w:rFonts w:ascii="Arial" w:hAnsi="Arial" w:cs="Arial"/>
        </w:rPr>
      </w:pPr>
      <w:r w:rsidRPr="00C96F1A">
        <w:rPr>
          <w:rFonts w:ascii="Arial" w:hAnsi="Arial" w:cs="Arial"/>
        </w:rPr>
        <w:t>From October 2017 to 31 March 2018:</w:t>
      </w:r>
    </w:p>
    <w:p w:rsidR="00126E37" w:rsidRPr="00C96F1A" w:rsidRDefault="00126E37" w:rsidP="00D806AE">
      <w:pPr>
        <w:pStyle w:val="ListParagraph"/>
        <w:numPr>
          <w:ilvl w:val="0"/>
          <w:numId w:val="65"/>
        </w:numPr>
        <w:rPr>
          <w:rFonts w:ascii="Arial" w:hAnsi="Arial" w:cs="Arial"/>
        </w:rPr>
      </w:pPr>
      <w:r w:rsidRPr="00C96F1A">
        <w:rPr>
          <w:rFonts w:ascii="Arial" w:hAnsi="Arial" w:cs="Arial"/>
        </w:rPr>
        <w:t>Seven</w:t>
      </w:r>
      <w:r>
        <w:rPr>
          <w:rFonts w:ascii="Arial" w:hAnsi="Arial" w:cs="Arial"/>
        </w:rPr>
        <w:t xml:space="preserve"> </w:t>
      </w:r>
      <w:r w:rsidRPr="00C96F1A">
        <w:rPr>
          <w:rFonts w:ascii="Arial" w:hAnsi="Arial" w:cs="Arial"/>
        </w:rPr>
        <w:t>government-supported projects</w:t>
      </w:r>
      <w:r w:rsidR="00F337DB">
        <w:rPr>
          <w:rFonts w:ascii="Arial" w:hAnsi="Arial" w:cs="Arial"/>
        </w:rPr>
        <w:t xml:space="preserve"> - </w:t>
      </w:r>
      <w:r w:rsidR="00F337DB" w:rsidRPr="00126E37">
        <w:rPr>
          <w:rFonts w:ascii="Arial" w:hAnsi="Arial" w:cs="Arial"/>
        </w:rPr>
        <w:t>worth more than $100m each (totalling $1.3 billion) are directly engaging local contractors and manufacturers</w:t>
      </w:r>
    </w:p>
    <w:p w:rsidR="00126E37" w:rsidRPr="00C96F1A" w:rsidRDefault="00126E37" w:rsidP="00D806AE">
      <w:pPr>
        <w:pStyle w:val="ListParagraph"/>
        <w:numPr>
          <w:ilvl w:val="0"/>
          <w:numId w:val="65"/>
        </w:numPr>
        <w:rPr>
          <w:rFonts w:ascii="Arial" w:hAnsi="Arial" w:cs="Arial"/>
        </w:rPr>
      </w:pPr>
      <w:r w:rsidRPr="00C96F1A">
        <w:rPr>
          <w:rFonts w:ascii="Arial" w:hAnsi="Arial" w:cs="Arial"/>
        </w:rPr>
        <w:t>125</w:t>
      </w:r>
      <w:r>
        <w:rPr>
          <w:rFonts w:ascii="Arial" w:hAnsi="Arial" w:cs="Arial"/>
        </w:rPr>
        <w:t xml:space="preserve"> </w:t>
      </w:r>
      <w:r w:rsidRPr="00C96F1A">
        <w:rPr>
          <w:rFonts w:ascii="Arial" w:hAnsi="Arial" w:cs="Arial"/>
        </w:rPr>
        <w:t>projects valued at</w:t>
      </w:r>
      <w:r>
        <w:rPr>
          <w:rFonts w:ascii="Arial" w:hAnsi="Arial" w:cs="Arial"/>
        </w:rPr>
        <w:t xml:space="preserve"> </w:t>
      </w:r>
      <w:r w:rsidRPr="00C96F1A">
        <w:rPr>
          <w:rFonts w:ascii="Arial" w:hAnsi="Arial" w:cs="Arial"/>
        </w:rPr>
        <w:t>$685m</w:t>
      </w:r>
      <w:r w:rsidR="00F337DB" w:rsidRPr="00F337DB">
        <w:rPr>
          <w:rFonts w:ascii="Arial" w:hAnsi="Arial" w:cs="Arial"/>
        </w:rPr>
        <w:t xml:space="preserve"> </w:t>
      </w:r>
      <w:r w:rsidR="00F337DB" w:rsidRPr="00126E37">
        <w:rPr>
          <w:rFonts w:ascii="Arial" w:hAnsi="Arial" w:cs="Arial"/>
        </w:rPr>
        <w:t>directly supporting 145 full-time apprentices and trainees</w:t>
      </w:r>
    </w:p>
    <w:p w:rsidR="0028598A" w:rsidRPr="00126E37" w:rsidRDefault="00126E37" w:rsidP="00D806AE">
      <w:pPr>
        <w:pStyle w:val="ListParagraph"/>
        <w:numPr>
          <w:ilvl w:val="0"/>
          <w:numId w:val="65"/>
        </w:numPr>
        <w:rPr>
          <w:rFonts w:ascii="Arial" w:hAnsi="Arial" w:cs="Arial"/>
        </w:rPr>
      </w:pPr>
      <w:r w:rsidRPr="00126E37">
        <w:rPr>
          <w:rFonts w:ascii="Arial" w:hAnsi="Arial" w:cs="Arial"/>
        </w:rPr>
        <w:t>Over 33,000 Queensland businesses already supplying to the Queensland Government</w:t>
      </w:r>
    </w:p>
    <w:p w:rsidR="004B0131" w:rsidRDefault="004B0131" w:rsidP="00C96F1A">
      <w:pPr>
        <w:rPr>
          <w:rFonts w:ascii="Arial" w:hAnsi="Arial" w:cs="Arial"/>
        </w:rPr>
      </w:pPr>
    </w:p>
    <w:p w:rsidR="00126E37" w:rsidRDefault="00126E37">
      <w:pPr>
        <w:spacing w:before="0" w:after="0"/>
        <w:rPr>
          <w:rFonts w:asciiTheme="majorHAnsi" w:eastAsiaTheme="majorEastAsia" w:hAnsiTheme="majorHAnsi" w:cstheme="majorBidi"/>
          <w:b/>
          <w:bCs/>
          <w:kern w:val="32"/>
          <w:sz w:val="40"/>
          <w:szCs w:val="32"/>
        </w:rPr>
      </w:pPr>
      <w:r>
        <w:br w:type="page"/>
      </w:r>
    </w:p>
    <w:p w:rsidR="0028598A" w:rsidRPr="00C96F1A" w:rsidRDefault="00B625AF" w:rsidP="00225D37">
      <w:pPr>
        <w:pStyle w:val="Heading3"/>
      </w:pPr>
      <w:r w:rsidRPr="00C96F1A">
        <w:lastRenderedPageBreak/>
        <w:t>Our achievements</w:t>
      </w:r>
    </w:p>
    <w:p w:rsidR="0028598A" w:rsidRPr="00C96F1A" w:rsidRDefault="00B625AF" w:rsidP="00225D37">
      <w:pPr>
        <w:pStyle w:val="Heading6"/>
      </w:pPr>
      <w:r w:rsidRPr="00C96F1A">
        <w:t>A Buy Queensland approach to procurement</w:t>
      </w:r>
    </w:p>
    <w:p w:rsidR="0028598A" w:rsidRPr="00C96F1A" w:rsidRDefault="00B625AF" w:rsidP="00C96F1A">
      <w:pPr>
        <w:rPr>
          <w:rFonts w:ascii="Arial" w:hAnsi="Arial" w:cs="Arial"/>
        </w:rPr>
      </w:pPr>
      <w:r w:rsidRPr="00C96F1A">
        <w:rPr>
          <w:rFonts w:ascii="Arial" w:hAnsi="Arial" w:cs="Arial"/>
        </w:rPr>
        <w:t xml:space="preserve">Our </w:t>
      </w:r>
      <w:r w:rsidRPr="00427037">
        <w:rPr>
          <w:rFonts w:ascii="Arial" w:hAnsi="Arial" w:cs="Arial"/>
          <w:i/>
        </w:rPr>
        <w:t>Buy Queensland</w:t>
      </w:r>
      <w:r w:rsidRPr="00C96F1A">
        <w:rPr>
          <w:rFonts w:ascii="Arial" w:hAnsi="Arial" w:cs="Arial"/>
        </w:rPr>
        <w:t xml:space="preserve"> approach to procurement was released early in the year and underpinned our strategic and innovative leadership and support activities throughout the year.</w:t>
      </w:r>
    </w:p>
    <w:p w:rsidR="0028598A" w:rsidRPr="00C96F1A" w:rsidRDefault="00B625AF" w:rsidP="00C96F1A">
      <w:pPr>
        <w:rPr>
          <w:rFonts w:ascii="Arial" w:hAnsi="Arial" w:cs="Arial"/>
        </w:rPr>
      </w:pPr>
      <w:r w:rsidRPr="00C96F1A">
        <w:rPr>
          <w:rFonts w:ascii="Arial" w:hAnsi="Arial" w:cs="Arial"/>
        </w:rPr>
        <w:t xml:space="preserve">Key elements of this approach include the </w:t>
      </w:r>
      <w:r w:rsidRPr="00427037">
        <w:rPr>
          <w:rFonts w:ascii="Arial" w:hAnsi="Arial" w:cs="Arial"/>
          <w:i/>
        </w:rPr>
        <w:t>Queensland Government Procurement Strategy – Backing Queensland Jobs</w:t>
      </w:r>
      <w:r w:rsidRPr="00C96F1A">
        <w:rPr>
          <w:rFonts w:ascii="Arial" w:hAnsi="Arial" w:cs="Arial"/>
        </w:rPr>
        <w:t xml:space="preserve">, and a revised </w:t>
      </w:r>
      <w:r w:rsidRPr="00427037">
        <w:rPr>
          <w:rFonts w:ascii="Arial" w:hAnsi="Arial" w:cs="Arial"/>
          <w:i/>
        </w:rPr>
        <w:t xml:space="preserve">Queensland Procurement Policy </w:t>
      </w:r>
      <w:r w:rsidRPr="00C96F1A">
        <w:rPr>
          <w:rFonts w:ascii="Arial" w:hAnsi="Arial" w:cs="Arial"/>
        </w:rPr>
        <w:t>which support jobs, regional growth and innovation, and set targets and commitments to achieve the government’s economic, environmental and social objectives through its procurement spend.</w:t>
      </w:r>
    </w:p>
    <w:p w:rsidR="0028598A" w:rsidRPr="00C96F1A" w:rsidRDefault="00B625AF" w:rsidP="00C96F1A">
      <w:pPr>
        <w:rPr>
          <w:rFonts w:ascii="Arial" w:hAnsi="Arial" w:cs="Arial"/>
        </w:rPr>
      </w:pPr>
      <w:r w:rsidRPr="00C96F1A">
        <w:rPr>
          <w:rFonts w:ascii="Arial" w:hAnsi="Arial" w:cs="Arial"/>
        </w:rPr>
        <w:t xml:space="preserve">Focus areas of the </w:t>
      </w:r>
      <w:r w:rsidRPr="00427037">
        <w:rPr>
          <w:rFonts w:ascii="Arial" w:hAnsi="Arial" w:cs="Arial"/>
          <w:i/>
        </w:rPr>
        <w:t>Buy Queensland</w:t>
      </w:r>
      <w:r w:rsidRPr="00C96F1A">
        <w:rPr>
          <w:rFonts w:ascii="Arial" w:hAnsi="Arial" w:cs="Arial"/>
        </w:rPr>
        <w:t xml:space="preserve"> approach are:</w:t>
      </w:r>
    </w:p>
    <w:p w:rsidR="0028598A" w:rsidRPr="00427037" w:rsidRDefault="00B625AF" w:rsidP="00D806AE">
      <w:pPr>
        <w:pStyle w:val="ListParagraph"/>
        <w:numPr>
          <w:ilvl w:val="0"/>
          <w:numId w:val="66"/>
        </w:numPr>
        <w:rPr>
          <w:rFonts w:ascii="Arial" w:hAnsi="Arial" w:cs="Arial"/>
        </w:rPr>
      </w:pPr>
      <w:r w:rsidRPr="00427037">
        <w:rPr>
          <w:rFonts w:ascii="Arial" w:hAnsi="Arial" w:cs="Arial"/>
        </w:rPr>
        <w:t>jobs, training and other local benefits – through the application of a local benefits test</w:t>
      </w:r>
    </w:p>
    <w:p w:rsidR="0028598A" w:rsidRPr="00427037" w:rsidRDefault="00B625AF" w:rsidP="00D806AE">
      <w:pPr>
        <w:pStyle w:val="ListParagraph"/>
        <w:numPr>
          <w:ilvl w:val="0"/>
          <w:numId w:val="66"/>
        </w:numPr>
        <w:rPr>
          <w:rFonts w:ascii="Arial" w:hAnsi="Arial" w:cs="Arial"/>
        </w:rPr>
      </w:pPr>
      <w:r w:rsidRPr="00427037">
        <w:rPr>
          <w:rFonts w:ascii="Arial" w:hAnsi="Arial" w:cs="Arial"/>
        </w:rPr>
        <w:t>quality, safe workplaces through the application of best practice principles</w:t>
      </w:r>
    </w:p>
    <w:p w:rsidR="0028598A" w:rsidRPr="00427037" w:rsidRDefault="00B625AF" w:rsidP="00D806AE">
      <w:pPr>
        <w:pStyle w:val="ListParagraph"/>
        <w:numPr>
          <w:ilvl w:val="0"/>
          <w:numId w:val="66"/>
        </w:numPr>
        <w:rPr>
          <w:rFonts w:ascii="Arial" w:hAnsi="Arial" w:cs="Arial"/>
        </w:rPr>
      </w:pPr>
      <w:r w:rsidRPr="00427037">
        <w:rPr>
          <w:rFonts w:ascii="Arial" w:hAnsi="Arial" w:cs="Arial"/>
        </w:rPr>
        <w:t>local produce, through ‘Buy Queensland first’ for food and</w:t>
      </w:r>
      <w:r w:rsidR="00427037">
        <w:rPr>
          <w:rFonts w:ascii="Arial" w:hAnsi="Arial" w:cs="Arial"/>
        </w:rPr>
        <w:t xml:space="preserve"> </w:t>
      </w:r>
      <w:r w:rsidRPr="00427037">
        <w:rPr>
          <w:rFonts w:ascii="Arial" w:hAnsi="Arial" w:cs="Arial"/>
        </w:rPr>
        <w:t>beverages at events and corporate functions</w:t>
      </w:r>
    </w:p>
    <w:p w:rsidR="0028598A" w:rsidRPr="00427037" w:rsidRDefault="00B625AF" w:rsidP="00D806AE">
      <w:pPr>
        <w:pStyle w:val="ListParagraph"/>
        <w:numPr>
          <w:ilvl w:val="0"/>
          <w:numId w:val="66"/>
        </w:numPr>
        <w:rPr>
          <w:rFonts w:ascii="Arial" w:hAnsi="Arial" w:cs="Arial"/>
        </w:rPr>
      </w:pPr>
      <w:r w:rsidRPr="00427037">
        <w:rPr>
          <w:rFonts w:ascii="Arial" w:hAnsi="Arial" w:cs="Arial"/>
        </w:rPr>
        <w:t>improved social outcomes for disadvantaged Queenslanders by increasing spend with genuine, quality social enterprises.</w:t>
      </w:r>
    </w:p>
    <w:p w:rsidR="0028598A" w:rsidRPr="00C96F1A" w:rsidRDefault="00B625AF" w:rsidP="00C96F1A">
      <w:pPr>
        <w:rPr>
          <w:rFonts w:ascii="Arial" w:hAnsi="Arial" w:cs="Arial"/>
        </w:rPr>
      </w:pPr>
      <w:r w:rsidRPr="00C96F1A">
        <w:rPr>
          <w:rFonts w:ascii="Arial" w:hAnsi="Arial" w:cs="Arial"/>
        </w:rPr>
        <w:t>A strong compliance function ensures commitments to Queenslanders are upheld.</w:t>
      </w:r>
    </w:p>
    <w:p w:rsidR="0028598A" w:rsidRPr="00C96F1A" w:rsidRDefault="00B625AF" w:rsidP="00C96F1A">
      <w:pPr>
        <w:rPr>
          <w:rFonts w:ascii="Arial" w:hAnsi="Arial" w:cs="Arial"/>
        </w:rPr>
      </w:pPr>
      <w:r w:rsidRPr="00C96F1A">
        <w:rPr>
          <w:rFonts w:ascii="Arial" w:hAnsi="Arial" w:cs="Arial"/>
        </w:rPr>
        <w:t>In 2017–18, we also:</w:t>
      </w:r>
    </w:p>
    <w:p w:rsidR="0028598A" w:rsidRPr="00225D37" w:rsidRDefault="00B625AF" w:rsidP="00D806AE">
      <w:pPr>
        <w:pStyle w:val="ListParagraph"/>
        <w:numPr>
          <w:ilvl w:val="0"/>
          <w:numId w:val="67"/>
        </w:numPr>
        <w:rPr>
          <w:rFonts w:ascii="Arial" w:hAnsi="Arial" w:cs="Arial"/>
        </w:rPr>
      </w:pPr>
      <w:r w:rsidRPr="00225D37">
        <w:rPr>
          <w:rFonts w:ascii="Arial" w:hAnsi="Arial" w:cs="Arial"/>
        </w:rPr>
        <w:t>led category planning in collaboration with government agencies and industry for General Goods and Services to leverage more than $640 million in annualised spend during 2017–18</w:t>
      </w:r>
    </w:p>
    <w:p w:rsidR="0028598A" w:rsidRPr="00225D37" w:rsidRDefault="00B625AF" w:rsidP="00D806AE">
      <w:pPr>
        <w:pStyle w:val="ListParagraph"/>
        <w:numPr>
          <w:ilvl w:val="0"/>
          <w:numId w:val="67"/>
        </w:numPr>
        <w:rPr>
          <w:rFonts w:ascii="Arial" w:hAnsi="Arial" w:cs="Arial"/>
        </w:rPr>
      </w:pPr>
      <w:r w:rsidRPr="00225D37">
        <w:rPr>
          <w:rFonts w:ascii="Arial" w:hAnsi="Arial" w:cs="Arial"/>
        </w:rPr>
        <w:t>managed 27 General Goods and Services whole-of- government Standing Offer Arrangements with 260 suppliers</w:t>
      </w:r>
    </w:p>
    <w:p w:rsidR="0028598A" w:rsidRPr="00225D37" w:rsidRDefault="00B625AF" w:rsidP="00D806AE">
      <w:pPr>
        <w:pStyle w:val="ListParagraph"/>
        <w:numPr>
          <w:ilvl w:val="0"/>
          <w:numId w:val="67"/>
        </w:numPr>
        <w:rPr>
          <w:rFonts w:ascii="Arial" w:hAnsi="Arial" w:cs="Arial"/>
        </w:rPr>
      </w:pPr>
      <w:r w:rsidRPr="00225D37">
        <w:rPr>
          <w:rFonts w:ascii="Arial" w:hAnsi="Arial" w:cs="Arial"/>
        </w:rPr>
        <w:t>used our category planning process to coordinate government procurement through forward planning and grouping procurement activities into categories of spend, creating and sustaining value</w:t>
      </w:r>
    </w:p>
    <w:p w:rsidR="0028598A" w:rsidRPr="00225D37" w:rsidRDefault="00B625AF" w:rsidP="00D806AE">
      <w:pPr>
        <w:pStyle w:val="ListParagraph"/>
        <w:numPr>
          <w:ilvl w:val="0"/>
          <w:numId w:val="67"/>
        </w:numPr>
        <w:rPr>
          <w:rFonts w:ascii="Arial" w:hAnsi="Arial" w:cs="Arial"/>
        </w:rPr>
      </w:pPr>
      <w:r w:rsidRPr="00225D37">
        <w:rPr>
          <w:rFonts w:ascii="Arial" w:hAnsi="Arial" w:cs="Arial"/>
        </w:rPr>
        <w:t>established a new contemporary professional services panel during the year with a focus on local service delivery across Queensland</w:t>
      </w:r>
    </w:p>
    <w:p w:rsidR="0028598A" w:rsidRPr="00225D37" w:rsidRDefault="00B625AF" w:rsidP="00D806AE">
      <w:pPr>
        <w:pStyle w:val="ListParagraph"/>
        <w:numPr>
          <w:ilvl w:val="0"/>
          <w:numId w:val="67"/>
        </w:numPr>
        <w:rPr>
          <w:rFonts w:ascii="Arial" w:hAnsi="Arial" w:cs="Arial"/>
        </w:rPr>
      </w:pPr>
      <w:r w:rsidRPr="00225D37">
        <w:rPr>
          <w:rFonts w:ascii="Arial" w:hAnsi="Arial" w:cs="Arial"/>
        </w:rPr>
        <w:t>established a new workplace health services panel, incorporating social enterprises and local businesses, building the reputation of government as an employer of choice by investing in the well-being of employees and their families.</w:t>
      </w:r>
    </w:p>
    <w:p w:rsidR="0028598A" w:rsidRPr="00C96F1A" w:rsidRDefault="00B625AF" w:rsidP="00953919">
      <w:pPr>
        <w:pStyle w:val="Heading6"/>
      </w:pPr>
      <w:r w:rsidRPr="00C96F1A">
        <w:t>Partnerships and leadership</w:t>
      </w:r>
    </w:p>
    <w:p w:rsidR="0028598A" w:rsidRPr="00C96F1A" w:rsidRDefault="00B625AF" w:rsidP="00C96F1A">
      <w:pPr>
        <w:rPr>
          <w:rFonts w:ascii="Arial" w:hAnsi="Arial" w:cs="Arial"/>
        </w:rPr>
      </w:pPr>
      <w:r w:rsidRPr="00C96F1A">
        <w:rPr>
          <w:rFonts w:ascii="Arial" w:hAnsi="Arial" w:cs="Arial"/>
        </w:rPr>
        <w:t>During the year the Chief Advisor, Queensland Government Procurement partnered with the Integrity Commissioner to host four executive round table discussions to improve integrity in procurement.</w:t>
      </w:r>
    </w:p>
    <w:p w:rsidR="0028598A" w:rsidRPr="00C96F1A" w:rsidRDefault="00B625AF" w:rsidP="00C96F1A">
      <w:pPr>
        <w:rPr>
          <w:rFonts w:ascii="Arial" w:hAnsi="Arial" w:cs="Arial"/>
        </w:rPr>
      </w:pPr>
      <w:r w:rsidRPr="00C96F1A">
        <w:rPr>
          <w:rFonts w:ascii="Arial" w:hAnsi="Arial" w:cs="Arial"/>
        </w:rPr>
        <w:t>The General Goods and Services procurement team collaborated with government agencies and industry to foster innovative procurement solutions and drive better outcomes for Queensland.</w:t>
      </w:r>
    </w:p>
    <w:p w:rsidR="0028598A" w:rsidRPr="00C96F1A" w:rsidRDefault="00B625AF" w:rsidP="00C96F1A">
      <w:pPr>
        <w:rPr>
          <w:rFonts w:ascii="Arial" w:hAnsi="Arial" w:cs="Arial"/>
        </w:rPr>
      </w:pPr>
      <w:r w:rsidRPr="00C96F1A">
        <w:rPr>
          <w:rFonts w:ascii="Arial" w:hAnsi="Arial" w:cs="Arial"/>
        </w:rPr>
        <w:t>The six category councils, which govern the strategy for the category and endorse related category plans, provided oversight and directed strategic activities in relation to major categories of spend.</w:t>
      </w:r>
    </w:p>
    <w:p w:rsidR="005D7744" w:rsidRDefault="005D7744">
      <w:pPr>
        <w:spacing w:before="0" w:after="0"/>
        <w:rPr>
          <w:rFonts w:cstheme="majorBidi"/>
          <w:b/>
          <w:bCs/>
          <w:szCs w:val="22"/>
        </w:rPr>
      </w:pPr>
      <w:r>
        <w:br w:type="page"/>
      </w:r>
    </w:p>
    <w:p w:rsidR="0028598A" w:rsidRPr="00C96F1A" w:rsidRDefault="00B625AF" w:rsidP="00953919">
      <w:pPr>
        <w:pStyle w:val="Heading6"/>
      </w:pPr>
      <w:r w:rsidRPr="00C96F1A">
        <w:lastRenderedPageBreak/>
        <w:t>Queensland Government procurement activities throughout the</w:t>
      </w:r>
      <w:r w:rsidR="00953919">
        <w:t xml:space="preserve"> </w:t>
      </w:r>
      <w:r w:rsidRPr="00C96F1A">
        <w:t>year supported efficient and responsible service delivery</w:t>
      </w:r>
    </w:p>
    <w:p w:rsidR="0028598A" w:rsidRPr="00C96F1A" w:rsidRDefault="00B625AF" w:rsidP="00C96F1A">
      <w:pPr>
        <w:rPr>
          <w:rFonts w:ascii="Arial" w:hAnsi="Arial" w:cs="Arial"/>
        </w:rPr>
      </w:pPr>
      <w:r w:rsidRPr="00C96F1A">
        <w:rPr>
          <w:rFonts w:ascii="Arial" w:hAnsi="Arial" w:cs="Arial"/>
        </w:rPr>
        <w:t>In 2017–18, we:</w:t>
      </w:r>
    </w:p>
    <w:p w:rsidR="0028598A" w:rsidRPr="00225D37" w:rsidRDefault="00B625AF" w:rsidP="00D806AE">
      <w:pPr>
        <w:pStyle w:val="ListParagraph"/>
        <w:numPr>
          <w:ilvl w:val="0"/>
          <w:numId w:val="68"/>
        </w:numPr>
        <w:rPr>
          <w:rFonts w:ascii="Arial" w:hAnsi="Arial" w:cs="Arial"/>
        </w:rPr>
      </w:pPr>
      <w:r w:rsidRPr="00225D37">
        <w:rPr>
          <w:rFonts w:ascii="Arial" w:hAnsi="Arial" w:cs="Arial"/>
        </w:rPr>
        <w:t>released guidance on value for money, support for local suppliers, probity and integrity in procurement, the local benefits test, reducing domestic and family violence and helping secure jobs for vulnerable and disadvantaged jobseekers</w:t>
      </w:r>
    </w:p>
    <w:p w:rsidR="0028598A" w:rsidRPr="00225D37" w:rsidRDefault="00B625AF" w:rsidP="00D806AE">
      <w:pPr>
        <w:pStyle w:val="ListParagraph"/>
        <w:numPr>
          <w:ilvl w:val="0"/>
          <w:numId w:val="68"/>
        </w:numPr>
        <w:rPr>
          <w:rFonts w:ascii="Arial" w:hAnsi="Arial" w:cs="Arial"/>
        </w:rPr>
      </w:pPr>
      <w:r w:rsidRPr="00225D37">
        <w:rPr>
          <w:rFonts w:ascii="Arial" w:hAnsi="Arial" w:cs="Arial"/>
        </w:rPr>
        <w:t>established the Procurement Data, Systems and Reporting Program to continue to identify, drive and deliver continuous improvement and capability uplift to mature and enrich procurement reporting across government.</w:t>
      </w:r>
    </w:p>
    <w:p w:rsidR="0028598A" w:rsidRPr="00C96F1A" w:rsidRDefault="00B625AF" w:rsidP="00953919">
      <w:pPr>
        <w:pStyle w:val="Heading4"/>
      </w:pPr>
      <w:r w:rsidRPr="00C96F1A">
        <w:t>Our future focus</w:t>
      </w:r>
    </w:p>
    <w:p w:rsidR="0028598A" w:rsidRPr="00C96F1A" w:rsidRDefault="00B625AF" w:rsidP="00C96F1A">
      <w:pPr>
        <w:rPr>
          <w:rFonts w:ascii="Arial" w:hAnsi="Arial" w:cs="Arial"/>
        </w:rPr>
      </w:pPr>
      <w:r w:rsidRPr="00C96F1A">
        <w:rPr>
          <w:rFonts w:ascii="Arial" w:hAnsi="Arial" w:cs="Arial"/>
        </w:rPr>
        <w:t xml:space="preserve">In 2018–19, the department will continue to play a key role in advancing the </w:t>
      </w:r>
      <w:r w:rsidR="006B611B">
        <w:rPr>
          <w:rFonts w:ascii="Arial" w:hAnsi="Arial" w:cs="Arial"/>
        </w:rPr>
        <w:t>g</w:t>
      </w:r>
      <w:r w:rsidRPr="00C96F1A">
        <w:rPr>
          <w:rFonts w:ascii="Arial" w:hAnsi="Arial" w:cs="Arial"/>
        </w:rPr>
        <w:t>overnment’s responsive government priority and deliver initiatives that will make a difference to Queenslanders through:</w:t>
      </w:r>
    </w:p>
    <w:p w:rsidR="0028598A" w:rsidRPr="00225D37" w:rsidRDefault="00B625AF" w:rsidP="00D806AE">
      <w:pPr>
        <w:pStyle w:val="ListParagraph"/>
        <w:numPr>
          <w:ilvl w:val="0"/>
          <w:numId w:val="69"/>
        </w:numPr>
        <w:rPr>
          <w:rFonts w:ascii="Arial" w:hAnsi="Arial" w:cs="Arial"/>
        </w:rPr>
      </w:pPr>
      <w:r w:rsidRPr="00225D37">
        <w:rPr>
          <w:rFonts w:ascii="Arial" w:hAnsi="Arial" w:cs="Arial"/>
        </w:rPr>
        <w:t>monitoring the application of the Buy Queensland approach, including enhancements announced in 2018</w:t>
      </w:r>
    </w:p>
    <w:p w:rsidR="0028598A" w:rsidRPr="00225D37" w:rsidRDefault="00B625AF" w:rsidP="00D806AE">
      <w:pPr>
        <w:pStyle w:val="ListParagraph"/>
        <w:numPr>
          <w:ilvl w:val="0"/>
          <w:numId w:val="69"/>
        </w:numPr>
        <w:rPr>
          <w:rFonts w:ascii="Arial" w:hAnsi="Arial" w:cs="Arial"/>
        </w:rPr>
      </w:pPr>
      <w:r w:rsidRPr="00225D37">
        <w:rPr>
          <w:rFonts w:ascii="Arial" w:hAnsi="Arial" w:cs="Arial"/>
        </w:rPr>
        <w:t>providing advice, support, frameworks and tools to enable agencies to increase opportunities for local suppliers, to grow regional economies and embed non-price considerations, including social procurement, into government procurement processes to facilitate opportunities for improved outcomes for targeted social groups</w:t>
      </w:r>
    </w:p>
    <w:p w:rsidR="0028598A" w:rsidRPr="003941F1" w:rsidRDefault="00B625AF" w:rsidP="00D806AE">
      <w:pPr>
        <w:pStyle w:val="ListParagraph"/>
        <w:numPr>
          <w:ilvl w:val="0"/>
          <w:numId w:val="69"/>
        </w:numPr>
        <w:rPr>
          <w:rFonts w:ascii="Arial" w:hAnsi="Arial" w:cs="Arial"/>
          <w:i/>
        </w:rPr>
      </w:pPr>
      <w:r w:rsidRPr="00225D37">
        <w:rPr>
          <w:rFonts w:ascii="Arial" w:hAnsi="Arial" w:cs="Arial"/>
        </w:rPr>
        <w:t xml:space="preserve">implementing the whole-of-government </w:t>
      </w:r>
      <w:r w:rsidRPr="003941F1">
        <w:rPr>
          <w:rFonts w:ascii="Arial" w:hAnsi="Arial" w:cs="Arial"/>
          <w:i/>
        </w:rPr>
        <w:t>Procurement Performance Management Reporting Framework</w:t>
      </w:r>
    </w:p>
    <w:p w:rsidR="0028598A" w:rsidRPr="00225D37" w:rsidRDefault="00B625AF" w:rsidP="00D806AE">
      <w:pPr>
        <w:pStyle w:val="ListParagraph"/>
        <w:numPr>
          <w:ilvl w:val="0"/>
          <w:numId w:val="69"/>
        </w:numPr>
        <w:rPr>
          <w:rFonts w:ascii="Arial" w:hAnsi="Arial" w:cs="Arial"/>
        </w:rPr>
      </w:pPr>
      <w:r w:rsidRPr="00225D37">
        <w:rPr>
          <w:rFonts w:ascii="Arial" w:hAnsi="Arial" w:cs="Arial"/>
        </w:rPr>
        <w:t xml:space="preserve">enhancing compliance with the </w:t>
      </w:r>
      <w:r w:rsidRPr="003941F1">
        <w:rPr>
          <w:rFonts w:ascii="Arial" w:hAnsi="Arial" w:cs="Arial"/>
          <w:i/>
        </w:rPr>
        <w:t>Queensland Government Building and Construction Training Policy</w:t>
      </w:r>
      <w:r w:rsidRPr="00225D37">
        <w:rPr>
          <w:rFonts w:ascii="Arial" w:hAnsi="Arial" w:cs="Arial"/>
        </w:rPr>
        <w:t xml:space="preserve"> through a proactive program of audits</w:t>
      </w:r>
    </w:p>
    <w:p w:rsidR="0028598A" w:rsidRPr="00225D37" w:rsidRDefault="00B625AF" w:rsidP="00D806AE">
      <w:pPr>
        <w:pStyle w:val="ListParagraph"/>
        <w:numPr>
          <w:ilvl w:val="0"/>
          <w:numId w:val="69"/>
        </w:numPr>
        <w:rPr>
          <w:rFonts w:ascii="Arial" w:hAnsi="Arial" w:cs="Arial"/>
        </w:rPr>
      </w:pPr>
      <w:r w:rsidRPr="00225D37">
        <w:rPr>
          <w:rFonts w:ascii="Arial" w:hAnsi="Arial" w:cs="Arial"/>
        </w:rPr>
        <w:t>providing an agency-led, centrally enabled function that takes a best practice category management approach to the procurement of general goods and services, such as electricity, contingent workforce and travel</w:t>
      </w:r>
    </w:p>
    <w:p w:rsidR="0028598A" w:rsidRDefault="00B625AF" w:rsidP="00D806AE">
      <w:pPr>
        <w:pStyle w:val="ListParagraph"/>
        <w:numPr>
          <w:ilvl w:val="0"/>
          <w:numId w:val="69"/>
        </w:numPr>
        <w:rPr>
          <w:rFonts w:ascii="Arial" w:hAnsi="Arial" w:cs="Arial"/>
        </w:rPr>
      </w:pPr>
      <w:r w:rsidRPr="00225D37">
        <w:rPr>
          <w:rFonts w:ascii="Arial" w:hAnsi="Arial" w:cs="Arial"/>
        </w:rPr>
        <w:t>reporting emissions for short-term vehicle hire and flight travel.</w:t>
      </w:r>
    </w:p>
    <w:p w:rsidR="00953919" w:rsidRDefault="00953919" w:rsidP="00C96F1A">
      <w:pPr>
        <w:rPr>
          <w:rFonts w:ascii="Arial" w:hAnsi="Arial" w:cs="Arial"/>
        </w:rPr>
      </w:pPr>
    </w:p>
    <w:p w:rsidR="003E39EB" w:rsidRDefault="003E39EB" w:rsidP="003E39EB">
      <w:pPr>
        <w:pStyle w:val="Heading3"/>
      </w:pPr>
      <w:r>
        <w:t>Service Standards</w:t>
      </w:r>
    </w:p>
    <w:tbl>
      <w:tblPr>
        <w:tblW w:w="989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7371"/>
        <w:gridCol w:w="1276"/>
        <w:gridCol w:w="1250"/>
      </w:tblGrid>
      <w:tr w:rsidR="00953919" w:rsidRPr="00A52F16" w:rsidTr="00694D7C">
        <w:trPr>
          <w:tblHeader/>
        </w:trPr>
        <w:tc>
          <w:tcPr>
            <w:tcW w:w="7371" w:type="dxa"/>
            <w:shd w:val="clear" w:color="auto" w:fill="000000" w:themeFill="text1"/>
            <w:vAlign w:val="center"/>
          </w:tcPr>
          <w:p w:rsidR="00953919" w:rsidRPr="00A52F16" w:rsidRDefault="00953919" w:rsidP="00694D7C">
            <w:pPr>
              <w:pStyle w:val="TableTextHeading"/>
              <w:jc w:val="left"/>
              <w:rPr>
                <w:color w:val="FFFFFF" w:themeColor="background1"/>
              </w:rPr>
            </w:pPr>
            <w:r w:rsidRPr="11284B68">
              <w:rPr>
                <w:color w:val="FFFFFF" w:themeColor="background1"/>
              </w:rPr>
              <w:t>Service area: Procurement Services</w:t>
            </w:r>
          </w:p>
        </w:tc>
        <w:tc>
          <w:tcPr>
            <w:tcW w:w="1276" w:type="dxa"/>
            <w:shd w:val="clear" w:color="auto" w:fill="000000" w:themeFill="text1"/>
            <w:vAlign w:val="center"/>
            <w:hideMark/>
          </w:tcPr>
          <w:p w:rsidR="00953919" w:rsidRPr="00A52F16" w:rsidRDefault="00953919" w:rsidP="00694D7C">
            <w:pPr>
              <w:pStyle w:val="TableTextHeading"/>
              <w:rPr>
                <w:color w:val="FFFFFF" w:themeColor="background1"/>
              </w:rPr>
            </w:pPr>
            <w:r>
              <w:rPr>
                <w:color w:val="FFFFFF" w:themeColor="background1"/>
              </w:rPr>
              <w:t>2017–18</w:t>
            </w:r>
          </w:p>
          <w:p w:rsidR="00953919" w:rsidRPr="00A52F16" w:rsidRDefault="00953919" w:rsidP="00694D7C">
            <w:pPr>
              <w:pStyle w:val="TableTextHeading"/>
              <w:rPr>
                <w:color w:val="FFFFFF" w:themeColor="background1"/>
              </w:rPr>
            </w:pPr>
            <w:r w:rsidRPr="11284B68">
              <w:rPr>
                <w:color w:val="FFFFFF" w:themeColor="background1"/>
              </w:rPr>
              <w:t>Target/Est.</w:t>
            </w:r>
          </w:p>
        </w:tc>
        <w:tc>
          <w:tcPr>
            <w:tcW w:w="1250" w:type="dxa"/>
            <w:shd w:val="clear" w:color="auto" w:fill="000000" w:themeFill="text1"/>
            <w:vAlign w:val="center"/>
            <w:hideMark/>
          </w:tcPr>
          <w:p w:rsidR="00953919" w:rsidRPr="00A52F16" w:rsidRDefault="00953919" w:rsidP="00694D7C">
            <w:pPr>
              <w:pStyle w:val="TableTextHeading"/>
              <w:rPr>
                <w:color w:val="FFFFFF" w:themeColor="background1"/>
              </w:rPr>
            </w:pPr>
            <w:r>
              <w:rPr>
                <w:color w:val="FFFFFF" w:themeColor="background1"/>
              </w:rPr>
              <w:t>2017–18</w:t>
            </w:r>
          </w:p>
          <w:p w:rsidR="00953919" w:rsidRPr="00A52F16" w:rsidRDefault="00953919" w:rsidP="00694D7C">
            <w:pPr>
              <w:pStyle w:val="TableTextHeading"/>
              <w:rPr>
                <w:color w:val="FFFFFF" w:themeColor="background1"/>
              </w:rPr>
            </w:pPr>
            <w:r w:rsidRPr="11284B68">
              <w:rPr>
                <w:color w:val="FFFFFF" w:themeColor="background1"/>
              </w:rPr>
              <w:t>Actual</w:t>
            </w:r>
          </w:p>
        </w:tc>
      </w:tr>
      <w:tr w:rsidR="00953919" w:rsidRPr="00246DD9" w:rsidTr="00694D7C">
        <w:tc>
          <w:tcPr>
            <w:tcW w:w="7371" w:type="dxa"/>
            <w:shd w:val="clear" w:color="auto" w:fill="D9D9D9" w:themeFill="background1" w:themeFillShade="D9"/>
            <w:vAlign w:val="bottom"/>
          </w:tcPr>
          <w:p w:rsidR="00953919" w:rsidRPr="006E3426" w:rsidRDefault="00953919" w:rsidP="00694D7C">
            <w:pPr>
              <w:pStyle w:val="TableTextBold"/>
            </w:pPr>
            <w:r>
              <w:t>Effectiveness measures</w:t>
            </w:r>
          </w:p>
        </w:tc>
        <w:tc>
          <w:tcPr>
            <w:tcW w:w="1276" w:type="dxa"/>
            <w:shd w:val="clear" w:color="auto" w:fill="D9D9D9" w:themeFill="background1" w:themeFillShade="D9"/>
          </w:tcPr>
          <w:p w:rsidR="00953919" w:rsidRPr="00994A8B" w:rsidRDefault="00953919" w:rsidP="00694D7C">
            <w:pPr>
              <w:pStyle w:val="TableTextRight"/>
            </w:pPr>
          </w:p>
        </w:tc>
        <w:tc>
          <w:tcPr>
            <w:tcW w:w="1250" w:type="dxa"/>
            <w:shd w:val="clear" w:color="auto" w:fill="D9D9D9" w:themeFill="background1" w:themeFillShade="D9"/>
          </w:tcPr>
          <w:p w:rsidR="00953919" w:rsidRDefault="00953919" w:rsidP="00694D7C">
            <w:pPr>
              <w:pStyle w:val="TableTextRight"/>
            </w:pPr>
          </w:p>
        </w:tc>
      </w:tr>
      <w:tr w:rsidR="00953919" w:rsidRPr="00246DD9" w:rsidTr="00694D7C">
        <w:tc>
          <w:tcPr>
            <w:tcW w:w="7371" w:type="dxa"/>
            <w:tcBorders>
              <w:bottom w:val="nil"/>
            </w:tcBorders>
            <w:vAlign w:val="bottom"/>
          </w:tcPr>
          <w:p w:rsidR="00953919" w:rsidRPr="00371863" w:rsidRDefault="00953919" w:rsidP="00694D7C">
            <w:pPr>
              <w:pStyle w:val="TableText"/>
              <w:rPr>
                <w:rStyle w:val="Bold"/>
                <w:rFonts w:ascii="Arial Narrow" w:eastAsia="Arial Narrow" w:hAnsi="Arial Narrow" w:cs="Arial Narrow"/>
                <w:b w:val="0"/>
                <w:i/>
                <w:sz w:val="16"/>
                <w:szCs w:val="16"/>
              </w:rPr>
            </w:pPr>
            <w:r w:rsidRPr="00584A70">
              <w:t>Overall satisfaction with advice and support provided by the Office of the Chief Advisor – Procurement (internal to government)</w:t>
            </w:r>
          </w:p>
        </w:tc>
        <w:tc>
          <w:tcPr>
            <w:tcW w:w="1276" w:type="dxa"/>
            <w:tcBorders>
              <w:bottom w:val="nil"/>
            </w:tcBorders>
          </w:tcPr>
          <w:p w:rsidR="00953919" w:rsidRPr="00246DD9" w:rsidRDefault="00953919" w:rsidP="00694D7C">
            <w:pPr>
              <w:pStyle w:val="TableTextRight"/>
            </w:pPr>
            <w:r>
              <w:t>61%</w:t>
            </w:r>
          </w:p>
        </w:tc>
        <w:tc>
          <w:tcPr>
            <w:tcW w:w="1250" w:type="dxa"/>
            <w:tcBorders>
              <w:bottom w:val="nil"/>
            </w:tcBorders>
          </w:tcPr>
          <w:p w:rsidR="00953919" w:rsidRPr="00246DD9" w:rsidRDefault="00953919" w:rsidP="00694D7C">
            <w:pPr>
              <w:pStyle w:val="TableTextRight"/>
            </w:pPr>
            <w:r>
              <w:t>90%</w:t>
            </w:r>
          </w:p>
        </w:tc>
      </w:tr>
      <w:tr w:rsidR="00953919" w:rsidRPr="00246DD9" w:rsidTr="00694D7C">
        <w:tc>
          <w:tcPr>
            <w:tcW w:w="7371" w:type="dxa"/>
            <w:tcBorders>
              <w:top w:val="nil"/>
            </w:tcBorders>
            <w:vAlign w:val="bottom"/>
          </w:tcPr>
          <w:p w:rsidR="00953919" w:rsidRPr="008568A3" w:rsidRDefault="008568A3" w:rsidP="008568A3">
            <w:pPr>
              <w:pStyle w:val="Tabletextindent"/>
              <w:ind w:left="0"/>
              <w:rPr>
                <w:rFonts w:ascii="Arial Narrow" w:eastAsia="Arial Narrow" w:hAnsi="Arial Narrow" w:cs="Arial Narrow"/>
                <w:i/>
                <w:iCs/>
                <w:sz w:val="16"/>
                <w:szCs w:val="16"/>
              </w:rPr>
            </w:pPr>
            <w:r w:rsidRPr="008568A3">
              <w:rPr>
                <w:rFonts w:ascii="Arial Narrow" w:eastAsia="Arial Narrow" w:hAnsi="Arial Narrow" w:cs="Arial Narrow"/>
                <w:i/>
                <w:iCs/>
                <w:sz w:val="16"/>
                <w:szCs w:val="16"/>
              </w:rPr>
              <w:t xml:space="preserve">Variance between the 2017–18 Target/Estimate and the 2017–18 Actual is due to improved collaboration with agencies. </w:t>
            </w:r>
          </w:p>
        </w:tc>
        <w:tc>
          <w:tcPr>
            <w:tcW w:w="1276" w:type="dxa"/>
            <w:tcBorders>
              <w:top w:val="nil"/>
            </w:tcBorders>
          </w:tcPr>
          <w:p w:rsidR="00953919" w:rsidRPr="00246DD9" w:rsidRDefault="00953919" w:rsidP="00694D7C">
            <w:pPr>
              <w:pStyle w:val="TableTextRight"/>
            </w:pPr>
          </w:p>
        </w:tc>
        <w:tc>
          <w:tcPr>
            <w:tcW w:w="1250" w:type="dxa"/>
            <w:tcBorders>
              <w:top w:val="nil"/>
            </w:tcBorders>
          </w:tcPr>
          <w:p w:rsidR="00953919" w:rsidRPr="00246DD9" w:rsidRDefault="00953919" w:rsidP="00694D7C">
            <w:pPr>
              <w:pStyle w:val="TableTextRight"/>
            </w:pPr>
          </w:p>
        </w:tc>
      </w:tr>
      <w:tr w:rsidR="00953919" w:rsidRPr="00246DD9" w:rsidTr="00694D7C">
        <w:tc>
          <w:tcPr>
            <w:tcW w:w="7371" w:type="dxa"/>
            <w:tcBorders>
              <w:bottom w:val="nil"/>
            </w:tcBorders>
            <w:vAlign w:val="bottom"/>
          </w:tcPr>
          <w:p w:rsidR="00953919" w:rsidRDefault="00953919" w:rsidP="00694D7C">
            <w:pPr>
              <w:pStyle w:val="TableText"/>
            </w:pPr>
            <w:r w:rsidRPr="00584A70">
              <w:t>Overall satisfaction with the way the Office of the Chief Advisor – Procurement engages with the Procurement Industry Advisory Group (external to government)</w:t>
            </w:r>
          </w:p>
        </w:tc>
        <w:tc>
          <w:tcPr>
            <w:tcW w:w="1276" w:type="dxa"/>
            <w:tcBorders>
              <w:bottom w:val="nil"/>
            </w:tcBorders>
          </w:tcPr>
          <w:p w:rsidR="00953919" w:rsidRPr="00246DD9" w:rsidRDefault="00953919" w:rsidP="00694D7C">
            <w:pPr>
              <w:pStyle w:val="TableTextRight"/>
            </w:pPr>
            <w:r>
              <w:t>80%</w:t>
            </w:r>
          </w:p>
        </w:tc>
        <w:tc>
          <w:tcPr>
            <w:tcW w:w="1250" w:type="dxa"/>
            <w:tcBorders>
              <w:bottom w:val="nil"/>
            </w:tcBorders>
          </w:tcPr>
          <w:p w:rsidR="00953919" w:rsidRPr="00246DD9" w:rsidRDefault="00953919" w:rsidP="00694D7C">
            <w:pPr>
              <w:pStyle w:val="TableTextRight"/>
            </w:pPr>
            <w:r>
              <w:t>70%</w:t>
            </w:r>
          </w:p>
        </w:tc>
      </w:tr>
      <w:tr w:rsidR="00953919" w:rsidRPr="00246DD9" w:rsidTr="00694D7C">
        <w:tc>
          <w:tcPr>
            <w:tcW w:w="7371" w:type="dxa"/>
            <w:tcBorders>
              <w:top w:val="nil"/>
            </w:tcBorders>
            <w:vAlign w:val="bottom"/>
          </w:tcPr>
          <w:p w:rsidR="00953919" w:rsidRPr="009C52A7" w:rsidRDefault="009C52A7" w:rsidP="009C52A7">
            <w:pPr>
              <w:pStyle w:val="Tabletextindent"/>
              <w:ind w:left="0"/>
              <w:rPr>
                <w:rFonts w:ascii="MetaNormalLF-Italic" w:eastAsiaTheme="minorEastAsia" w:hAnsi="MetaNormalLF-Italic" w:cs="MetaNormalLF-Italic"/>
                <w:color w:val="3F3F41"/>
                <w:sz w:val="14"/>
                <w:szCs w:val="14"/>
              </w:rPr>
            </w:pPr>
            <w:r w:rsidRPr="009C52A7">
              <w:rPr>
                <w:rFonts w:ascii="Arial Narrow" w:eastAsia="Arial Narrow" w:hAnsi="Arial Narrow" w:cs="Arial Narrow"/>
                <w:i/>
                <w:iCs/>
                <w:sz w:val="16"/>
                <w:szCs w:val="16"/>
              </w:rPr>
              <w:t>Variance between the 2017–18 Target/Estimate and the 2017–18 Actual is due to increased expectations of the Procurement Industry Advisory Group (PIAG) members.</w:t>
            </w:r>
            <w:r>
              <w:rPr>
                <w:rFonts w:cs="MetaNormalLF-Italic"/>
                <w:color w:val="3F3F41"/>
                <w:sz w:val="14"/>
                <w:szCs w:val="14"/>
              </w:rPr>
              <w:t xml:space="preserve"> </w:t>
            </w:r>
          </w:p>
        </w:tc>
        <w:tc>
          <w:tcPr>
            <w:tcW w:w="1276" w:type="dxa"/>
            <w:tcBorders>
              <w:top w:val="nil"/>
            </w:tcBorders>
          </w:tcPr>
          <w:p w:rsidR="00953919" w:rsidRPr="00994A8B" w:rsidRDefault="00953919" w:rsidP="00694D7C">
            <w:pPr>
              <w:pStyle w:val="TableTextRight"/>
            </w:pPr>
          </w:p>
        </w:tc>
        <w:tc>
          <w:tcPr>
            <w:tcW w:w="1250" w:type="dxa"/>
            <w:tcBorders>
              <w:top w:val="nil"/>
            </w:tcBorders>
          </w:tcPr>
          <w:p w:rsidR="00953919" w:rsidRDefault="00953919" w:rsidP="00694D7C">
            <w:pPr>
              <w:pStyle w:val="TableTextRight"/>
            </w:pPr>
          </w:p>
        </w:tc>
      </w:tr>
      <w:tr w:rsidR="00953919" w:rsidRPr="00097F8B" w:rsidTr="00694D7C">
        <w:tc>
          <w:tcPr>
            <w:tcW w:w="7371" w:type="dxa"/>
            <w:shd w:val="clear" w:color="auto" w:fill="D9D9D9" w:themeFill="background1" w:themeFillShade="D9"/>
            <w:vAlign w:val="bottom"/>
          </w:tcPr>
          <w:p w:rsidR="00953919" w:rsidRPr="00097F8B" w:rsidRDefault="00953919" w:rsidP="00694D7C">
            <w:pPr>
              <w:pStyle w:val="TableTextBold"/>
            </w:pPr>
            <w:r w:rsidRPr="00097F8B">
              <w:t>Efficiency measures</w:t>
            </w:r>
          </w:p>
        </w:tc>
        <w:tc>
          <w:tcPr>
            <w:tcW w:w="1276" w:type="dxa"/>
            <w:shd w:val="clear" w:color="auto" w:fill="D9D9D9" w:themeFill="background1" w:themeFillShade="D9"/>
          </w:tcPr>
          <w:p w:rsidR="00953919" w:rsidRPr="00097F8B" w:rsidRDefault="00953919" w:rsidP="00694D7C">
            <w:pPr>
              <w:pStyle w:val="TableTextRight"/>
              <w:rPr>
                <w:b/>
              </w:rPr>
            </w:pPr>
          </w:p>
        </w:tc>
        <w:tc>
          <w:tcPr>
            <w:tcW w:w="1250" w:type="dxa"/>
            <w:shd w:val="clear" w:color="auto" w:fill="D9D9D9" w:themeFill="background1" w:themeFillShade="D9"/>
          </w:tcPr>
          <w:p w:rsidR="00953919" w:rsidRPr="00097F8B" w:rsidRDefault="00953919" w:rsidP="00694D7C">
            <w:pPr>
              <w:pStyle w:val="TableTextRight"/>
              <w:rPr>
                <w:b/>
              </w:rPr>
            </w:pPr>
          </w:p>
        </w:tc>
      </w:tr>
      <w:tr w:rsidR="00953919" w:rsidRPr="00097F8B" w:rsidTr="00694D7C">
        <w:tc>
          <w:tcPr>
            <w:tcW w:w="7371" w:type="dxa"/>
            <w:shd w:val="clear" w:color="auto" w:fill="FFFFFF" w:themeFill="background1"/>
            <w:vAlign w:val="bottom"/>
          </w:tcPr>
          <w:p w:rsidR="00953919" w:rsidRPr="00371863" w:rsidRDefault="00953919" w:rsidP="00694D7C">
            <w:pPr>
              <w:pStyle w:val="TableText"/>
              <w:rPr>
                <w:rFonts w:ascii="Arial Narrow" w:eastAsia="Arial Narrow" w:hAnsi="Arial Narrow" w:cs="Arial Narrow"/>
                <w:i/>
                <w:sz w:val="16"/>
                <w:szCs w:val="16"/>
              </w:rPr>
            </w:pPr>
            <w:r w:rsidRPr="1FB55C6F">
              <w:rPr>
                <w:rFonts w:ascii="Arial Narrow" w:eastAsia="Arial Narrow" w:hAnsi="Arial Narrow" w:cs="Arial Narrow"/>
                <w:i/>
                <w:iCs/>
                <w:sz w:val="16"/>
                <w:szCs w:val="16"/>
              </w:rPr>
              <w:t>An efficiency measure is being developed for this service and will be included in a future Service Delivery Statement.</w:t>
            </w:r>
          </w:p>
        </w:tc>
        <w:tc>
          <w:tcPr>
            <w:tcW w:w="1276" w:type="dxa"/>
            <w:shd w:val="clear" w:color="auto" w:fill="FFFFFF" w:themeFill="background1"/>
            <w:vAlign w:val="center"/>
          </w:tcPr>
          <w:p w:rsidR="00953919" w:rsidRPr="00097F8B" w:rsidRDefault="00953919" w:rsidP="00694D7C">
            <w:pPr>
              <w:pStyle w:val="TableText"/>
              <w:ind w:left="357"/>
              <w:rPr>
                <w:rFonts w:ascii="Arial Narrow" w:hAnsi="Arial Narrow"/>
                <w:i/>
                <w:sz w:val="16"/>
                <w:szCs w:val="16"/>
              </w:rPr>
            </w:pPr>
          </w:p>
        </w:tc>
        <w:tc>
          <w:tcPr>
            <w:tcW w:w="1250" w:type="dxa"/>
            <w:shd w:val="clear" w:color="auto" w:fill="FFFFFF" w:themeFill="background1"/>
            <w:vAlign w:val="center"/>
          </w:tcPr>
          <w:p w:rsidR="00953919" w:rsidRPr="00097F8B" w:rsidRDefault="00953919" w:rsidP="00694D7C">
            <w:pPr>
              <w:pStyle w:val="TableText"/>
              <w:ind w:left="357"/>
              <w:rPr>
                <w:rFonts w:ascii="Arial Narrow" w:hAnsi="Arial Narrow"/>
                <w:i/>
                <w:sz w:val="16"/>
                <w:szCs w:val="16"/>
              </w:rPr>
            </w:pPr>
          </w:p>
        </w:tc>
      </w:tr>
    </w:tbl>
    <w:p w:rsidR="001612DF" w:rsidRDefault="001612DF">
      <w:pPr>
        <w:spacing w:before="0" w:after="0"/>
        <w:rPr>
          <w:rFonts w:asciiTheme="majorHAnsi" w:eastAsiaTheme="majorEastAsia" w:hAnsiTheme="majorHAnsi" w:cstheme="majorBidi"/>
          <w:b/>
          <w:bCs/>
          <w:kern w:val="32"/>
          <w:sz w:val="40"/>
          <w:szCs w:val="32"/>
        </w:rPr>
      </w:pPr>
      <w:r>
        <w:br w:type="page"/>
      </w:r>
    </w:p>
    <w:p w:rsidR="0028598A" w:rsidRPr="00C96F1A" w:rsidRDefault="00B625AF" w:rsidP="00247724">
      <w:pPr>
        <w:pStyle w:val="Heading2"/>
      </w:pPr>
      <w:bookmarkStart w:id="33" w:name="_Toc528845963"/>
      <w:r w:rsidRPr="00C96F1A">
        <w:lastRenderedPageBreak/>
        <w:t>Sport and Recreation</w:t>
      </w:r>
      <w:bookmarkEnd w:id="33"/>
    </w:p>
    <w:p w:rsidR="0028598A" w:rsidRPr="00C96F1A" w:rsidRDefault="0028598A" w:rsidP="00C96F1A">
      <w:pPr>
        <w:rPr>
          <w:rFonts w:ascii="Arial" w:hAnsi="Arial" w:cs="Arial"/>
        </w:rPr>
      </w:pPr>
    </w:p>
    <w:p w:rsidR="0028598A" w:rsidRPr="00C96F1A" w:rsidRDefault="00B625AF" w:rsidP="001612DF">
      <w:pPr>
        <w:pStyle w:val="Heading3"/>
      </w:pPr>
      <w:r w:rsidRPr="00C96F1A">
        <w:t>Our objective</w:t>
      </w:r>
    </w:p>
    <w:p w:rsidR="0028598A" w:rsidRPr="00C96F1A" w:rsidRDefault="00B625AF" w:rsidP="00C96F1A">
      <w:pPr>
        <w:rPr>
          <w:rFonts w:ascii="Arial" w:hAnsi="Arial" w:cs="Arial"/>
        </w:rPr>
      </w:pPr>
      <w:r w:rsidRPr="00C96F1A">
        <w:rPr>
          <w:rFonts w:ascii="Arial" w:hAnsi="Arial" w:cs="Arial"/>
        </w:rPr>
        <w:t>To support and encourage participation in physical activity through sport and active recreation.</w:t>
      </w:r>
    </w:p>
    <w:p w:rsidR="0028598A" w:rsidRPr="001612DF" w:rsidRDefault="00B625AF" w:rsidP="001612DF">
      <w:pPr>
        <w:pStyle w:val="Heading3"/>
      </w:pPr>
      <w:r w:rsidRPr="001612DF">
        <w:t>What we do</w:t>
      </w:r>
    </w:p>
    <w:p w:rsidR="0028598A" w:rsidRPr="00C96F1A" w:rsidRDefault="00B625AF" w:rsidP="00C96F1A">
      <w:pPr>
        <w:rPr>
          <w:rFonts w:ascii="Arial" w:hAnsi="Arial" w:cs="Arial"/>
        </w:rPr>
      </w:pPr>
      <w:r w:rsidRPr="00C96F1A">
        <w:rPr>
          <w:rFonts w:ascii="Arial" w:hAnsi="Arial" w:cs="Arial"/>
        </w:rPr>
        <w:t>Sport and Recreation is responsible for a wide range of initiatives including:</w:t>
      </w:r>
    </w:p>
    <w:p w:rsidR="0028598A" w:rsidRPr="001612DF" w:rsidRDefault="00B625AF" w:rsidP="00D806AE">
      <w:pPr>
        <w:pStyle w:val="ListParagraph"/>
        <w:numPr>
          <w:ilvl w:val="0"/>
          <w:numId w:val="71"/>
        </w:numPr>
        <w:rPr>
          <w:rFonts w:ascii="Arial" w:hAnsi="Arial" w:cs="Arial"/>
        </w:rPr>
      </w:pPr>
      <w:r w:rsidRPr="001612DF">
        <w:rPr>
          <w:rFonts w:ascii="Arial" w:hAnsi="Arial" w:cs="Arial"/>
        </w:rPr>
        <w:t>developing and delivering a suite of funding programs to support community sport and active recreation needs</w:t>
      </w:r>
    </w:p>
    <w:p w:rsidR="0028598A" w:rsidRPr="001612DF" w:rsidRDefault="00B625AF" w:rsidP="00D806AE">
      <w:pPr>
        <w:pStyle w:val="ListParagraph"/>
        <w:numPr>
          <w:ilvl w:val="0"/>
          <w:numId w:val="71"/>
        </w:numPr>
        <w:rPr>
          <w:rFonts w:ascii="Arial" w:hAnsi="Arial" w:cs="Arial"/>
        </w:rPr>
      </w:pPr>
      <w:r w:rsidRPr="001612DF">
        <w:rPr>
          <w:rFonts w:ascii="Arial" w:hAnsi="Arial" w:cs="Arial"/>
        </w:rPr>
        <w:t>providing education and training programs that contribute to building the capacity of the sport and recreation sector</w:t>
      </w:r>
    </w:p>
    <w:p w:rsidR="0028598A" w:rsidRPr="001612DF" w:rsidRDefault="00B625AF" w:rsidP="00D806AE">
      <w:pPr>
        <w:pStyle w:val="ListParagraph"/>
        <w:numPr>
          <w:ilvl w:val="0"/>
          <w:numId w:val="71"/>
        </w:numPr>
        <w:rPr>
          <w:rFonts w:ascii="Arial" w:hAnsi="Arial" w:cs="Arial"/>
        </w:rPr>
      </w:pPr>
      <w:r w:rsidRPr="001612DF">
        <w:rPr>
          <w:rFonts w:ascii="Arial" w:hAnsi="Arial" w:cs="Arial"/>
        </w:rPr>
        <w:t>providing resources for parents, carers and teachers aimed at encouraging all Queenslanders, particularly young people, to be more physically active</w:t>
      </w:r>
    </w:p>
    <w:p w:rsidR="0028598A" w:rsidRPr="001612DF" w:rsidRDefault="00B625AF" w:rsidP="00D806AE">
      <w:pPr>
        <w:pStyle w:val="ListParagraph"/>
        <w:numPr>
          <w:ilvl w:val="0"/>
          <w:numId w:val="71"/>
        </w:numPr>
        <w:rPr>
          <w:rFonts w:ascii="Arial" w:hAnsi="Arial" w:cs="Arial"/>
        </w:rPr>
      </w:pPr>
      <w:r w:rsidRPr="001612DF">
        <w:rPr>
          <w:rFonts w:ascii="Arial" w:hAnsi="Arial" w:cs="Arial"/>
        </w:rPr>
        <w:t>managing purpose-built sport and active recreation facilities, including the Queensland Recreation Centres</w:t>
      </w:r>
    </w:p>
    <w:p w:rsidR="0028598A" w:rsidRPr="001612DF" w:rsidRDefault="00B625AF" w:rsidP="00D806AE">
      <w:pPr>
        <w:pStyle w:val="ListParagraph"/>
        <w:numPr>
          <w:ilvl w:val="0"/>
          <w:numId w:val="71"/>
        </w:numPr>
        <w:rPr>
          <w:rFonts w:ascii="Arial" w:hAnsi="Arial" w:cs="Arial"/>
        </w:rPr>
      </w:pPr>
      <w:r w:rsidRPr="001612DF">
        <w:rPr>
          <w:rFonts w:ascii="Arial" w:hAnsi="Arial" w:cs="Arial"/>
        </w:rPr>
        <w:t>developing and supporting elite athletes at the Queensland Academy of Sport.</w:t>
      </w:r>
    </w:p>
    <w:p w:rsidR="0028598A" w:rsidRPr="00C96F1A" w:rsidRDefault="00B625AF" w:rsidP="001612DF">
      <w:pPr>
        <w:pStyle w:val="Heading3"/>
      </w:pPr>
      <w:r w:rsidRPr="00C96F1A">
        <w:t>Our services</w:t>
      </w:r>
    </w:p>
    <w:p w:rsidR="0028598A" w:rsidRPr="001612DF" w:rsidRDefault="00B625AF" w:rsidP="00D806AE">
      <w:pPr>
        <w:pStyle w:val="ListParagraph"/>
        <w:numPr>
          <w:ilvl w:val="0"/>
          <w:numId w:val="70"/>
        </w:numPr>
        <w:rPr>
          <w:rFonts w:ascii="Arial" w:hAnsi="Arial" w:cs="Arial"/>
        </w:rPr>
      </w:pPr>
      <w:r w:rsidRPr="001612DF">
        <w:rPr>
          <w:rFonts w:ascii="Arial" w:hAnsi="Arial" w:cs="Arial"/>
        </w:rPr>
        <w:t>Community support</w:t>
      </w:r>
    </w:p>
    <w:p w:rsidR="0028598A" w:rsidRPr="001612DF" w:rsidRDefault="00B625AF" w:rsidP="00D806AE">
      <w:pPr>
        <w:pStyle w:val="ListParagraph"/>
        <w:numPr>
          <w:ilvl w:val="0"/>
          <w:numId w:val="70"/>
        </w:numPr>
        <w:rPr>
          <w:rFonts w:ascii="Arial" w:hAnsi="Arial" w:cs="Arial"/>
        </w:rPr>
      </w:pPr>
      <w:r w:rsidRPr="001612DF">
        <w:rPr>
          <w:rFonts w:ascii="Arial" w:hAnsi="Arial" w:cs="Arial"/>
        </w:rPr>
        <w:t>Facilities</w:t>
      </w:r>
    </w:p>
    <w:p w:rsidR="005831D2" w:rsidRDefault="005831D2" w:rsidP="00247724">
      <w:pPr>
        <w:pStyle w:val="Heading3"/>
      </w:pPr>
      <w:r>
        <w:t>Key Statistics</w:t>
      </w:r>
    </w:p>
    <w:p w:rsidR="005831D2" w:rsidRPr="005831D2" w:rsidRDefault="005831D2" w:rsidP="005831D2">
      <w:pPr>
        <w:pStyle w:val="Heading6"/>
      </w:pPr>
      <w:r w:rsidRPr="005831D2">
        <w:t>Top 5 physical activities for adults*</w:t>
      </w:r>
    </w:p>
    <w:tbl>
      <w:tblPr>
        <w:tblStyle w:val="TableGrid"/>
        <w:tblW w:w="0" w:type="auto"/>
        <w:tblLook w:val="04A0" w:firstRow="1" w:lastRow="0" w:firstColumn="1" w:lastColumn="0" w:noHBand="0" w:noVBand="1"/>
      </w:tblPr>
      <w:tblGrid>
        <w:gridCol w:w="4887"/>
        <w:gridCol w:w="4853"/>
      </w:tblGrid>
      <w:tr w:rsidR="005831D2" w:rsidTr="001D33DB">
        <w:tc>
          <w:tcPr>
            <w:tcW w:w="4983" w:type="dxa"/>
          </w:tcPr>
          <w:p w:rsidR="005831D2" w:rsidRDefault="005831D2" w:rsidP="001D33DB">
            <w:pPr>
              <w:rPr>
                <w:rFonts w:ascii="Arial" w:hAnsi="Arial" w:cs="Arial"/>
              </w:rPr>
            </w:pPr>
            <w:r>
              <w:rPr>
                <w:rFonts w:ascii="Arial" w:hAnsi="Arial" w:cs="Arial"/>
              </w:rPr>
              <w:t>Walking</w:t>
            </w:r>
          </w:p>
        </w:tc>
        <w:tc>
          <w:tcPr>
            <w:tcW w:w="4983" w:type="dxa"/>
          </w:tcPr>
          <w:p w:rsidR="005831D2" w:rsidRDefault="005831D2" w:rsidP="001D33DB">
            <w:pPr>
              <w:rPr>
                <w:rFonts w:ascii="Arial" w:hAnsi="Arial" w:cs="Arial"/>
              </w:rPr>
            </w:pPr>
            <w:r>
              <w:rPr>
                <w:rFonts w:ascii="Arial" w:hAnsi="Arial" w:cs="Arial"/>
              </w:rPr>
              <w:t>55%</w:t>
            </w:r>
          </w:p>
        </w:tc>
      </w:tr>
      <w:tr w:rsidR="005831D2" w:rsidTr="001D33DB">
        <w:tc>
          <w:tcPr>
            <w:tcW w:w="4983" w:type="dxa"/>
          </w:tcPr>
          <w:p w:rsidR="005831D2" w:rsidRDefault="005831D2" w:rsidP="001D33DB">
            <w:pPr>
              <w:rPr>
                <w:rFonts w:ascii="Arial" w:hAnsi="Arial" w:cs="Arial"/>
              </w:rPr>
            </w:pPr>
            <w:r>
              <w:rPr>
                <w:rFonts w:ascii="Arial" w:hAnsi="Arial" w:cs="Arial"/>
              </w:rPr>
              <w:t>Any gym activity</w:t>
            </w:r>
          </w:p>
        </w:tc>
        <w:tc>
          <w:tcPr>
            <w:tcW w:w="4983" w:type="dxa"/>
          </w:tcPr>
          <w:p w:rsidR="005831D2" w:rsidRDefault="005831D2" w:rsidP="001D33DB">
            <w:pPr>
              <w:rPr>
                <w:rFonts w:ascii="Arial" w:hAnsi="Arial" w:cs="Arial"/>
              </w:rPr>
            </w:pPr>
            <w:r>
              <w:rPr>
                <w:rFonts w:ascii="Arial" w:hAnsi="Arial" w:cs="Arial"/>
              </w:rPr>
              <w:t>29%</w:t>
            </w:r>
          </w:p>
        </w:tc>
      </w:tr>
      <w:tr w:rsidR="005831D2" w:rsidTr="001D33DB">
        <w:tc>
          <w:tcPr>
            <w:tcW w:w="4983" w:type="dxa"/>
          </w:tcPr>
          <w:p w:rsidR="005831D2" w:rsidRDefault="005831D2" w:rsidP="001D33DB">
            <w:pPr>
              <w:rPr>
                <w:rFonts w:ascii="Arial" w:hAnsi="Arial" w:cs="Arial"/>
              </w:rPr>
            </w:pPr>
            <w:r>
              <w:rPr>
                <w:rFonts w:ascii="Arial" w:hAnsi="Arial" w:cs="Arial"/>
              </w:rPr>
              <w:t>Swimming</w:t>
            </w:r>
          </w:p>
        </w:tc>
        <w:tc>
          <w:tcPr>
            <w:tcW w:w="4983" w:type="dxa"/>
          </w:tcPr>
          <w:p w:rsidR="005831D2" w:rsidRDefault="005831D2" w:rsidP="001D33DB">
            <w:pPr>
              <w:rPr>
                <w:rFonts w:ascii="Arial" w:hAnsi="Arial" w:cs="Arial"/>
              </w:rPr>
            </w:pPr>
            <w:r>
              <w:rPr>
                <w:rFonts w:ascii="Arial" w:hAnsi="Arial" w:cs="Arial"/>
              </w:rPr>
              <w:t>19%</w:t>
            </w:r>
          </w:p>
        </w:tc>
      </w:tr>
      <w:tr w:rsidR="005831D2" w:rsidTr="001D33DB">
        <w:tc>
          <w:tcPr>
            <w:tcW w:w="4983" w:type="dxa"/>
          </w:tcPr>
          <w:p w:rsidR="005831D2" w:rsidRDefault="005831D2" w:rsidP="001D33DB">
            <w:pPr>
              <w:rPr>
                <w:rFonts w:ascii="Arial" w:hAnsi="Arial" w:cs="Arial"/>
              </w:rPr>
            </w:pPr>
            <w:r>
              <w:rPr>
                <w:rFonts w:ascii="Arial" w:hAnsi="Arial" w:cs="Arial"/>
              </w:rPr>
              <w:t>Running/jogging</w:t>
            </w:r>
          </w:p>
        </w:tc>
        <w:tc>
          <w:tcPr>
            <w:tcW w:w="4983" w:type="dxa"/>
          </w:tcPr>
          <w:p w:rsidR="005831D2" w:rsidRDefault="005831D2" w:rsidP="001D33DB">
            <w:pPr>
              <w:rPr>
                <w:rFonts w:ascii="Arial" w:hAnsi="Arial" w:cs="Arial"/>
              </w:rPr>
            </w:pPr>
            <w:r>
              <w:rPr>
                <w:rFonts w:ascii="Arial" w:hAnsi="Arial" w:cs="Arial"/>
              </w:rPr>
              <w:t>15%</w:t>
            </w:r>
          </w:p>
        </w:tc>
      </w:tr>
      <w:tr w:rsidR="005831D2" w:rsidTr="001D33DB">
        <w:tc>
          <w:tcPr>
            <w:tcW w:w="4983" w:type="dxa"/>
          </w:tcPr>
          <w:p w:rsidR="005831D2" w:rsidRDefault="005831D2" w:rsidP="001D33DB">
            <w:pPr>
              <w:rPr>
                <w:rFonts w:ascii="Arial" w:hAnsi="Arial" w:cs="Arial"/>
              </w:rPr>
            </w:pPr>
            <w:r>
              <w:rPr>
                <w:rFonts w:ascii="Arial" w:hAnsi="Arial" w:cs="Arial"/>
              </w:rPr>
              <w:t>bushwalking</w:t>
            </w:r>
          </w:p>
        </w:tc>
        <w:tc>
          <w:tcPr>
            <w:tcW w:w="4983" w:type="dxa"/>
          </w:tcPr>
          <w:p w:rsidR="005831D2" w:rsidRDefault="005831D2" w:rsidP="001D33DB">
            <w:pPr>
              <w:rPr>
                <w:rFonts w:ascii="Arial" w:hAnsi="Arial" w:cs="Arial"/>
              </w:rPr>
            </w:pPr>
            <w:r>
              <w:rPr>
                <w:rFonts w:ascii="Arial" w:hAnsi="Arial" w:cs="Arial"/>
              </w:rPr>
              <w:t>11%</w:t>
            </w:r>
          </w:p>
        </w:tc>
      </w:tr>
    </w:tbl>
    <w:p w:rsidR="005831D2" w:rsidRPr="00C96F1A" w:rsidRDefault="005831D2" w:rsidP="005831D2">
      <w:pPr>
        <w:rPr>
          <w:rFonts w:ascii="Arial" w:hAnsi="Arial" w:cs="Arial"/>
        </w:rPr>
      </w:pPr>
      <w:r w:rsidRPr="00C96F1A">
        <w:rPr>
          <w:rFonts w:ascii="Arial" w:hAnsi="Arial" w:cs="Arial"/>
        </w:rPr>
        <w:t>*Queensland Sport, Exercise and Recreation Survey Adults (QSERSA) Highlights 2015 and 2016 Report: Results for 2016</w:t>
      </w:r>
    </w:p>
    <w:p w:rsidR="005831D2" w:rsidRPr="00C96F1A" w:rsidRDefault="005831D2" w:rsidP="005831D2">
      <w:pPr>
        <w:rPr>
          <w:rFonts w:ascii="Arial" w:hAnsi="Arial" w:cs="Arial"/>
        </w:rPr>
      </w:pPr>
    </w:p>
    <w:tbl>
      <w:tblPr>
        <w:tblStyle w:val="TableGrid"/>
        <w:tblW w:w="0" w:type="auto"/>
        <w:tblLook w:val="04A0" w:firstRow="1" w:lastRow="0" w:firstColumn="1" w:lastColumn="0" w:noHBand="0" w:noVBand="1"/>
      </w:tblPr>
      <w:tblGrid>
        <w:gridCol w:w="3253"/>
        <w:gridCol w:w="3247"/>
        <w:gridCol w:w="3240"/>
      </w:tblGrid>
      <w:tr w:rsidR="005831D2" w:rsidRPr="001612DF" w:rsidTr="001D33DB">
        <w:tc>
          <w:tcPr>
            <w:tcW w:w="3322" w:type="dxa"/>
          </w:tcPr>
          <w:p w:rsidR="005831D2" w:rsidRPr="001612DF" w:rsidRDefault="005831D2" w:rsidP="001D33DB">
            <w:pPr>
              <w:rPr>
                <w:rFonts w:ascii="Arial" w:hAnsi="Arial" w:cs="Arial"/>
                <w:b/>
              </w:rPr>
            </w:pPr>
          </w:p>
        </w:tc>
        <w:tc>
          <w:tcPr>
            <w:tcW w:w="3322" w:type="dxa"/>
          </w:tcPr>
          <w:p w:rsidR="005831D2" w:rsidRPr="001612DF" w:rsidRDefault="005831D2" w:rsidP="001D33DB">
            <w:pPr>
              <w:rPr>
                <w:rFonts w:ascii="Arial" w:hAnsi="Arial" w:cs="Arial"/>
                <w:b/>
              </w:rPr>
            </w:pPr>
            <w:r w:rsidRPr="001612DF">
              <w:rPr>
                <w:rFonts w:ascii="Arial" w:hAnsi="Arial" w:cs="Arial"/>
                <w:b/>
              </w:rPr>
              <w:t>Children</w:t>
            </w:r>
          </w:p>
        </w:tc>
        <w:tc>
          <w:tcPr>
            <w:tcW w:w="3322" w:type="dxa"/>
          </w:tcPr>
          <w:p w:rsidR="005831D2" w:rsidRPr="001612DF" w:rsidRDefault="005831D2" w:rsidP="001D33DB">
            <w:pPr>
              <w:rPr>
                <w:rFonts w:ascii="Arial" w:hAnsi="Arial" w:cs="Arial"/>
                <w:b/>
              </w:rPr>
            </w:pPr>
            <w:r w:rsidRPr="001612DF">
              <w:rPr>
                <w:rFonts w:ascii="Arial" w:hAnsi="Arial" w:cs="Arial"/>
                <w:b/>
              </w:rPr>
              <w:t>Adults</w:t>
            </w:r>
          </w:p>
        </w:tc>
      </w:tr>
      <w:tr w:rsidR="005831D2" w:rsidTr="001D33DB">
        <w:tc>
          <w:tcPr>
            <w:tcW w:w="3322" w:type="dxa"/>
          </w:tcPr>
          <w:p w:rsidR="005831D2" w:rsidRPr="001612DF" w:rsidRDefault="005831D2" w:rsidP="001D33DB">
            <w:pPr>
              <w:rPr>
                <w:rFonts w:ascii="Arial" w:hAnsi="Arial" w:cs="Arial"/>
                <w:b/>
              </w:rPr>
            </w:pPr>
            <w:r w:rsidRPr="001612DF">
              <w:rPr>
                <w:rFonts w:ascii="Arial" w:hAnsi="Arial" w:cs="Arial"/>
                <w:b/>
              </w:rPr>
              <w:t>Physically active</w:t>
            </w:r>
          </w:p>
        </w:tc>
        <w:tc>
          <w:tcPr>
            <w:tcW w:w="3322" w:type="dxa"/>
          </w:tcPr>
          <w:p w:rsidR="005831D2" w:rsidRDefault="005831D2" w:rsidP="001D33DB">
            <w:pPr>
              <w:rPr>
                <w:rFonts w:ascii="Arial" w:hAnsi="Arial" w:cs="Arial"/>
              </w:rPr>
            </w:pPr>
            <w:r>
              <w:rPr>
                <w:rFonts w:ascii="Arial" w:hAnsi="Arial" w:cs="Arial"/>
              </w:rPr>
              <w:t>45%</w:t>
            </w:r>
          </w:p>
        </w:tc>
        <w:tc>
          <w:tcPr>
            <w:tcW w:w="3322" w:type="dxa"/>
          </w:tcPr>
          <w:p w:rsidR="005831D2" w:rsidRDefault="005831D2" w:rsidP="001D33DB">
            <w:pPr>
              <w:rPr>
                <w:rFonts w:ascii="Arial" w:hAnsi="Arial" w:cs="Arial"/>
              </w:rPr>
            </w:pPr>
            <w:r>
              <w:rPr>
                <w:rFonts w:ascii="Arial" w:hAnsi="Arial" w:cs="Arial"/>
              </w:rPr>
              <w:t>61%</w:t>
            </w:r>
          </w:p>
        </w:tc>
      </w:tr>
      <w:tr w:rsidR="005831D2" w:rsidTr="001D33DB">
        <w:tc>
          <w:tcPr>
            <w:tcW w:w="3322" w:type="dxa"/>
          </w:tcPr>
          <w:p w:rsidR="005831D2" w:rsidRPr="001612DF" w:rsidRDefault="005831D2" w:rsidP="001D33DB">
            <w:pPr>
              <w:rPr>
                <w:rFonts w:ascii="Arial" w:hAnsi="Arial" w:cs="Arial"/>
                <w:b/>
              </w:rPr>
            </w:pPr>
            <w:r w:rsidRPr="001612DF">
              <w:rPr>
                <w:rFonts w:ascii="Arial" w:hAnsi="Arial" w:cs="Arial"/>
                <w:b/>
              </w:rPr>
              <w:t>Healthy weight</w:t>
            </w:r>
          </w:p>
        </w:tc>
        <w:tc>
          <w:tcPr>
            <w:tcW w:w="3322" w:type="dxa"/>
          </w:tcPr>
          <w:p w:rsidR="005831D2" w:rsidRDefault="005831D2" w:rsidP="001D33DB">
            <w:pPr>
              <w:rPr>
                <w:rFonts w:ascii="Arial" w:hAnsi="Arial" w:cs="Arial"/>
              </w:rPr>
            </w:pPr>
            <w:r>
              <w:rPr>
                <w:rFonts w:ascii="Arial" w:hAnsi="Arial" w:cs="Arial"/>
              </w:rPr>
              <w:t>74%</w:t>
            </w:r>
          </w:p>
        </w:tc>
        <w:tc>
          <w:tcPr>
            <w:tcW w:w="3322" w:type="dxa"/>
          </w:tcPr>
          <w:p w:rsidR="005831D2" w:rsidRDefault="005831D2" w:rsidP="001D33DB">
            <w:pPr>
              <w:rPr>
                <w:rFonts w:ascii="Arial" w:hAnsi="Arial" w:cs="Arial"/>
              </w:rPr>
            </w:pPr>
            <w:r>
              <w:rPr>
                <w:rFonts w:ascii="Arial" w:hAnsi="Arial" w:cs="Arial"/>
              </w:rPr>
              <w:t>36%</w:t>
            </w:r>
          </w:p>
        </w:tc>
      </w:tr>
    </w:tbl>
    <w:p w:rsidR="0028598A" w:rsidRPr="00C96F1A" w:rsidRDefault="00B625AF" w:rsidP="00247724">
      <w:pPr>
        <w:pStyle w:val="Heading3"/>
      </w:pPr>
      <w:r w:rsidRPr="00C96F1A">
        <w:br w:type="column"/>
      </w:r>
      <w:r w:rsidRPr="00C96F1A">
        <w:lastRenderedPageBreak/>
        <w:t>Our achievements</w:t>
      </w:r>
    </w:p>
    <w:p w:rsidR="0028598A" w:rsidRPr="00C96F1A" w:rsidRDefault="00B625AF" w:rsidP="001612DF">
      <w:pPr>
        <w:pStyle w:val="Heading6"/>
      </w:pPr>
      <w:r w:rsidRPr="00C96F1A">
        <w:t>Encouraging physical activity for all Queenslanders</w:t>
      </w:r>
    </w:p>
    <w:p w:rsidR="0028598A" w:rsidRPr="00C96F1A" w:rsidRDefault="00B625AF" w:rsidP="00C96F1A">
      <w:pPr>
        <w:rPr>
          <w:rFonts w:ascii="Arial" w:hAnsi="Arial" w:cs="Arial"/>
        </w:rPr>
      </w:pPr>
      <w:r w:rsidRPr="00C96F1A">
        <w:rPr>
          <w:rFonts w:ascii="Arial" w:hAnsi="Arial" w:cs="Arial"/>
        </w:rPr>
        <w:t>Encouragement for Queenslanders of all ages and abilities to participate in physical activity is a major focus for our department.</w:t>
      </w:r>
    </w:p>
    <w:p w:rsidR="0028598A" w:rsidRPr="00C96F1A" w:rsidRDefault="00B625AF" w:rsidP="00C96F1A">
      <w:pPr>
        <w:rPr>
          <w:rFonts w:ascii="Arial" w:hAnsi="Arial" w:cs="Arial"/>
        </w:rPr>
      </w:pPr>
      <w:r w:rsidRPr="00C96F1A">
        <w:rPr>
          <w:rFonts w:ascii="Arial" w:hAnsi="Arial" w:cs="Arial"/>
        </w:rPr>
        <w:t>Participation in physical activity can provide positive social, emotional and health benefits for people of all ages, and the department delivered a range of initiatives throughout the year to support these outcomes.</w:t>
      </w:r>
    </w:p>
    <w:p w:rsidR="0028598A" w:rsidRPr="00C96F1A" w:rsidRDefault="00B625AF" w:rsidP="00C96F1A">
      <w:pPr>
        <w:rPr>
          <w:rFonts w:ascii="Arial" w:hAnsi="Arial" w:cs="Arial"/>
        </w:rPr>
      </w:pPr>
      <w:r w:rsidRPr="00C96F1A">
        <w:rPr>
          <w:rFonts w:ascii="Arial" w:hAnsi="Arial" w:cs="Arial"/>
        </w:rPr>
        <w:t>In 2017–18, we:</w:t>
      </w:r>
    </w:p>
    <w:p w:rsidR="0028598A" w:rsidRPr="001612DF" w:rsidRDefault="00B625AF" w:rsidP="00D806AE">
      <w:pPr>
        <w:pStyle w:val="ListParagraph"/>
        <w:numPr>
          <w:ilvl w:val="0"/>
          <w:numId w:val="72"/>
        </w:numPr>
        <w:rPr>
          <w:rFonts w:ascii="Arial" w:hAnsi="Arial" w:cs="Arial"/>
        </w:rPr>
      </w:pPr>
      <w:r w:rsidRPr="001612DF">
        <w:rPr>
          <w:rFonts w:ascii="Arial" w:hAnsi="Arial" w:cs="Arial"/>
        </w:rPr>
        <w:t>provided over 41,000 Get Started Vouchers (with a value of nearly $6.2 million) to assist children and young people who can least afford it, to join a sport or active recreation club</w:t>
      </w:r>
    </w:p>
    <w:p w:rsidR="0028598A" w:rsidRPr="001612DF" w:rsidRDefault="00B625AF" w:rsidP="00D806AE">
      <w:pPr>
        <w:pStyle w:val="ListParagraph"/>
        <w:numPr>
          <w:ilvl w:val="0"/>
          <w:numId w:val="72"/>
        </w:numPr>
        <w:rPr>
          <w:rFonts w:ascii="Arial" w:hAnsi="Arial" w:cs="Arial"/>
        </w:rPr>
      </w:pPr>
      <w:r w:rsidRPr="001612DF">
        <w:rPr>
          <w:rFonts w:ascii="Arial" w:hAnsi="Arial" w:cs="Arial"/>
        </w:rPr>
        <w:t xml:space="preserve">partnered with Nature Play Queensland to promote the health benefits of unstructured play outdoors and in nature, with the organisation </w:t>
      </w:r>
      <w:r w:rsidR="001612DF">
        <w:rPr>
          <w:rFonts w:ascii="Arial" w:hAnsi="Arial" w:cs="Arial"/>
        </w:rPr>
        <w:t>distributing</w:t>
      </w:r>
      <w:r w:rsidRPr="001612DF">
        <w:rPr>
          <w:rFonts w:ascii="Arial" w:hAnsi="Arial" w:cs="Arial"/>
        </w:rPr>
        <w:t xml:space="preserve"> 137,000 </w:t>
      </w:r>
      <w:r w:rsidRPr="005F52BA">
        <w:rPr>
          <w:rFonts w:ascii="Arial" w:hAnsi="Arial" w:cs="Arial"/>
          <w:i/>
        </w:rPr>
        <w:t>Passports to an amazing childhood</w:t>
      </w:r>
      <w:r w:rsidRPr="001612DF">
        <w:rPr>
          <w:rFonts w:ascii="Arial" w:hAnsi="Arial" w:cs="Arial"/>
        </w:rPr>
        <w:t xml:space="preserve"> during the year</w:t>
      </w:r>
    </w:p>
    <w:p w:rsidR="0028598A" w:rsidRPr="001612DF" w:rsidRDefault="00B625AF" w:rsidP="00D806AE">
      <w:pPr>
        <w:pStyle w:val="ListParagraph"/>
        <w:numPr>
          <w:ilvl w:val="0"/>
          <w:numId w:val="72"/>
        </w:numPr>
        <w:rPr>
          <w:rFonts w:ascii="Arial" w:hAnsi="Arial" w:cs="Arial"/>
        </w:rPr>
      </w:pPr>
      <w:r w:rsidRPr="001612DF">
        <w:rPr>
          <w:rFonts w:ascii="Arial" w:hAnsi="Arial" w:cs="Arial"/>
        </w:rPr>
        <w:t>assisted Queenslanders under the age of 18 to attend championship events through the Young Athletes Travel Subsidy, supporting 2,242 athletes to attend state events, 1,863 athletes to attend national events and 242 athletes to attend international events</w:t>
      </w:r>
    </w:p>
    <w:p w:rsidR="0028598A" w:rsidRPr="001612DF" w:rsidRDefault="00B625AF" w:rsidP="00D806AE">
      <w:pPr>
        <w:pStyle w:val="ListParagraph"/>
        <w:numPr>
          <w:ilvl w:val="0"/>
          <w:numId w:val="72"/>
        </w:numPr>
        <w:rPr>
          <w:rFonts w:ascii="Arial" w:hAnsi="Arial" w:cs="Arial"/>
        </w:rPr>
      </w:pPr>
      <w:r w:rsidRPr="001612DF">
        <w:rPr>
          <w:rFonts w:ascii="Arial" w:hAnsi="Arial" w:cs="Arial"/>
        </w:rPr>
        <w:t>supported participation for women and girls to get active through the Join the Movement campaign, achieving over 2.3 million online video views, over 24,600 Facebook followers, over 7,200 Instagram followers and over 169,900 web page views since its launch in 2016</w:t>
      </w:r>
    </w:p>
    <w:p w:rsidR="0028598A" w:rsidRPr="005F52BA" w:rsidRDefault="00B625AF" w:rsidP="005F52BA">
      <w:pPr>
        <w:pStyle w:val="ListParagraph"/>
        <w:numPr>
          <w:ilvl w:val="0"/>
          <w:numId w:val="72"/>
        </w:numPr>
        <w:rPr>
          <w:rFonts w:ascii="Arial" w:hAnsi="Arial" w:cs="Arial"/>
        </w:rPr>
      </w:pPr>
      <w:r w:rsidRPr="005F52BA">
        <w:rPr>
          <w:rFonts w:ascii="Arial" w:hAnsi="Arial" w:cs="Arial"/>
        </w:rPr>
        <w:t>delivered the Start Playing Stay Playing Awards to acknowledge female achievements and individuals, groups or organisations going above and beyond to increase and enhance sport</w:t>
      </w:r>
      <w:r w:rsidR="005F52BA" w:rsidRPr="005F52BA">
        <w:rPr>
          <w:rFonts w:ascii="Arial" w:hAnsi="Arial" w:cs="Arial"/>
        </w:rPr>
        <w:t xml:space="preserve"> </w:t>
      </w:r>
      <w:r w:rsidRPr="005F52BA">
        <w:rPr>
          <w:rFonts w:ascii="Arial" w:hAnsi="Arial" w:cs="Arial"/>
        </w:rPr>
        <w:t>and active recreation opportunities for women and girls in Queensland.</w:t>
      </w:r>
    </w:p>
    <w:p w:rsidR="0028598A" w:rsidRPr="00C96F1A" w:rsidRDefault="00B625AF" w:rsidP="001612DF">
      <w:pPr>
        <w:pStyle w:val="Heading6"/>
      </w:pPr>
      <w:r w:rsidRPr="00C96F1A">
        <w:t>Supporting regional and remote communities</w:t>
      </w:r>
    </w:p>
    <w:p w:rsidR="0028598A" w:rsidRPr="00C96F1A" w:rsidRDefault="00B625AF" w:rsidP="00C96F1A">
      <w:pPr>
        <w:rPr>
          <w:rFonts w:ascii="Arial" w:hAnsi="Arial" w:cs="Arial"/>
        </w:rPr>
      </w:pPr>
      <w:r w:rsidRPr="00C96F1A">
        <w:rPr>
          <w:rFonts w:ascii="Arial" w:hAnsi="Arial" w:cs="Arial"/>
        </w:rPr>
        <w:t>During the year, the department contributed to the achievement of a broad range of social outcomes aligned to the national Closing the Gap initiative, as well as promoting participation in an active and healthy lifestyle.</w:t>
      </w:r>
    </w:p>
    <w:p w:rsidR="0028598A" w:rsidRPr="00C96F1A" w:rsidRDefault="00B625AF" w:rsidP="00C96F1A">
      <w:pPr>
        <w:rPr>
          <w:rFonts w:ascii="Arial" w:hAnsi="Arial" w:cs="Arial"/>
        </w:rPr>
      </w:pPr>
      <w:r w:rsidRPr="00C96F1A">
        <w:rPr>
          <w:rFonts w:ascii="Arial" w:hAnsi="Arial" w:cs="Arial"/>
        </w:rPr>
        <w:t>In 2017–18, we:</w:t>
      </w:r>
    </w:p>
    <w:p w:rsidR="0028598A" w:rsidRPr="001612DF" w:rsidRDefault="00B625AF" w:rsidP="00D806AE">
      <w:pPr>
        <w:pStyle w:val="ListParagraph"/>
        <w:numPr>
          <w:ilvl w:val="0"/>
          <w:numId w:val="73"/>
        </w:numPr>
        <w:rPr>
          <w:rFonts w:ascii="Arial" w:hAnsi="Arial" w:cs="Arial"/>
        </w:rPr>
      </w:pPr>
      <w:r w:rsidRPr="001612DF">
        <w:rPr>
          <w:rFonts w:ascii="Arial" w:hAnsi="Arial" w:cs="Arial"/>
        </w:rPr>
        <w:t>delivered the Indigenous Community Sport and Recreation Program in partnership with the Queensland Police Citizens Youth Welfare Association</w:t>
      </w:r>
    </w:p>
    <w:p w:rsidR="0028598A" w:rsidRPr="001612DF" w:rsidRDefault="00B625AF" w:rsidP="00D806AE">
      <w:pPr>
        <w:pStyle w:val="ListParagraph"/>
        <w:numPr>
          <w:ilvl w:val="0"/>
          <w:numId w:val="73"/>
        </w:numPr>
        <w:rPr>
          <w:rFonts w:ascii="Arial" w:hAnsi="Arial" w:cs="Arial"/>
        </w:rPr>
      </w:pPr>
      <w:r w:rsidRPr="001612DF">
        <w:rPr>
          <w:rFonts w:ascii="Arial" w:hAnsi="Arial" w:cs="Arial"/>
        </w:rPr>
        <w:t>delivered the Torres Strait Community Sport and Recreation Program, supporting participation opportunities, equipment purchases and the administration of community grants of nearly $60,000 in partnership with the Torres Strait Youth and Recreational Sporting Association</w:t>
      </w:r>
    </w:p>
    <w:p w:rsidR="0028598A" w:rsidRPr="005F52BA" w:rsidRDefault="00B625AF" w:rsidP="005F52BA">
      <w:pPr>
        <w:pStyle w:val="ListParagraph"/>
        <w:numPr>
          <w:ilvl w:val="0"/>
          <w:numId w:val="73"/>
        </w:numPr>
        <w:rPr>
          <w:rFonts w:ascii="Arial" w:hAnsi="Arial" w:cs="Arial"/>
        </w:rPr>
      </w:pPr>
      <w:r w:rsidRPr="005F52BA">
        <w:rPr>
          <w:rFonts w:ascii="Arial" w:hAnsi="Arial" w:cs="Arial"/>
        </w:rPr>
        <w:t>provided special initiative funding of $1.95 million under the State Development Program 2017–19 to eight state level</w:t>
      </w:r>
      <w:r w:rsidR="005F52BA" w:rsidRPr="005F52BA">
        <w:rPr>
          <w:rFonts w:ascii="Arial" w:hAnsi="Arial" w:cs="Arial"/>
        </w:rPr>
        <w:t xml:space="preserve"> </w:t>
      </w:r>
      <w:r w:rsidRPr="005F52BA">
        <w:rPr>
          <w:rFonts w:ascii="Arial" w:hAnsi="Arial" w:cs="Arial"/>
        </w:rPr>
        <w:t>sporting organisations to deliver activities and training in rural and remote communities</w:t>
      </w:r>
    </w:p>
    <w:p w:rsidR="0028598A" w:rsidRPr="001612DF" w:rsidRDefault="00B625AF" w:rsidP="00D806AE">
      <w:pPr>
        <w:pStyle w:val="ListParagraph"/>
        <w:numPr>
          <w:ilvl w:val="0"/>
          <w:numId w:val="73"/>
        </w:numPr>
        <w:rPr>
          <w:rFonts w:ascii="Arial" w:hAnsi="Arial" w:cs="Arial"/>
        </w:rPr>
      </w:pPr>
      <w:r w:rsidRPr="001612DF">
        <w:rPr>
          <w:rFonts w:ascii="Arial" w:hAnsi="Arial" w:cs="Arial"/>
        </w:rPr>
        <w:t>delivered the Remote Facilities Maintenance Program, in partnership with the Department of Aboriginal and Torres Strait Islander Partnerships, providing financial, project management and maintenance assistance for indoor sport facilities.</w:t>
      </w:r>
    </w:p>
    <w:p w:rsidR="0028598A" w:rsidRPr="00C96F1A" w:rsidRDefault="00B625AF" w:rsidP="001612DF">
      <w:pPr>
        <w:pStyle w:val="Heading6"/>
      </w:pPr>
      <w:r w:rsidRPr="00C96F1A">
        <w:t>Investing in places, spaces and services</w:t>
      </w:r>
    </w:p>
    <w:p w:rsidR="0028598A" w:rsidRPr="00C96F1A" w:rsidRDefault="00B625AF" w:rsidP="00C96F1A">
      <w:pPr>
        <w:rPr>
          <w:rFonts w:ascii="Arial" w:hAnsi="Arial" w:cs="Arial"/>
        </w:rPr>
      </w:pPr>
      <w:r w:rsidRPr="00C96F1A">
        <w:rPr>
          <w:rFonts w:ascii="Arial" w:hAnsi="Arial" w:cs="Arial"/>
        </w:rPr>
        <w:t>Our investment in places, spaces and services helped to increase the availability of sport and recreation experiences to Queenslanders.</w:t>
      </w:r>
    </w:p>
    <w:p w:rsidR="0028598A" w:rsidRPr="00C96F1A" w:rsidRDefault="00B625AF" w:rsidP="00C96F1A">
      <w:pPr>
        <w:rPr>
          <w:rFonts w:ascii="Arial" w:hAnsi="Arial" w:cs="Arial"/>
        </w:rPr>
      </w:pPr>
      <w:r w:rsidRPr="00C96F1A">
        <w:rPr>
          <w:rFonts w:ascii="Arial" w:hAnsi="Arial" w:cs="Arial"/>
        </w:rPr>
        <w:t xml:space="preserve">In 2017–18, we </w:t>
      </w:r>
      <w:r w:rsidR="001F3458">
        <w:rPr>
          <w:rFonts w:ascii="Arial" w:hAnsi="Arial" w:cs="Arial"/>
        </w:rPr>
        <w:t>committed</w:t>
      </w:r>
      <w:r w:rsidRPr="00C96F1A">
        <w:rPr>
          <w:rFonts w:ascii="Arial" w:hAnsi="Arial" w:cs="Arial"/>
        </w:rPr>
        <w:t>:</w:t>
      </w:r>
    </w:p>
    <w:p w:rsidR="0028598A" w:rsidRPr="00CD1230" w:rsidRDefault="00B625AF" w:rsidP="00D806AE">
      <w:pPr>
        <w:pStyle w:val="ListParagraph"/>
        <w:numPr>
          <w:ilvl w:val="0"/>
          <w:numId w:val="74"/>
        </w:numPr>
        <w:rPr>
          <w:rFonts w:ascii="Arial" w:hAnsi="Arial" w:cs="Arial"/>
        </w:rPr>
      </w:pPr>
      <w:r w:rsidRPr="00CD1230">
        <w:rPr>
          <w:rFonts w:ascii="Arial" w:hAnsi="Arial" w:cs="Arial"/>
        </w:rPr>
        <w:t>$9.11 million for the Underwood Park Sport Precinct redevelopment</w:t>
      </w:r>
    </w:p>
    <w:p w:rsidR="0028598A" w:rsidRPr="00CD1230" w:rsidRDefault="00B625AF" w:rsidP="00D806AE">
      <w:pPr>
        <w:pStyle w:val="ListParagraph"/>
        <w:numPr>
          <w:ilvl w:val="0"/>
          <w:numId w:val="74"/>
        </w:numPr>
        <w:rPr>
          <w:rFonts w:ascii="Arial" w:hAnsi="Arial" w:cs="Arial"/>
        </w:rPr>
      </w:pPr>
      <w:r w:rsidRPr="00CD1230">
        <w:rPr>
          <w:rFonts w:ascii="Arial" w:hAnsi="Arial" w:cs="Arial"/>
        </w:rPr>
        <w:lastRenderedPageBreak/>
        <w:t>$7 million for the redevelopment of the University of the Sunshine Coast’s indoor stadium</w:t>
      </w:r>
    </w:p>
    <w:p w:rsidR="0028598A" w:rsidRPr="00CD1230" w:rsidRDefault="00B625AF" w:rsidP="00D806AE">
      <w:pPr>
        <w:pStyle w:val="ListParagraph"/>
        <w:numPr>
          <w:ilvl w:val="0"/>
          <w:numId w:val="74"/>
        </w:numPr>
        <w:rPr>
          <w:rFonts w:ascii="Arial" w:hAnsi="Arial" w:cs="Arial"/>
        </w:rPr>
      </w:pPr>
      <w:r w:rsidRPr="00CD1230">
        <w:rPr>
          <w:rFonts w:ascii="Arial" w:hAnsi="Arial" w:cs="Arial"/>
        </w:rPr>
        <w:t>$5.5 million for the Zillmere Basketball Complex</w:t>
      </w:r>
    </w:p>
    <w:p w:rsidR="0028598A" w:rsidRPr="00CD1230" w:rsidRDefault="00B625AF" w:rsidP="00D806AE">
      <w:pPr>
        <w:pStyle w:val="ListParagraph"/>
        <w:numPr>
          <w:ilvl w:val="0"/>
          <w:numId w:val="74"/>
        </w:numPr>
        <w:rPr>
          <w:rFonts w:ascii="Arial" w:hAnsi="Arial" w:cs="Arial"/>
        </w:rPr>
      </w:pPr>
      <w:r w:rsidRPr="00CD1230">
        <w:rPr>
          <w:rFonts w:ascii="Arial" w:hAnsi="Arial" w:cs="Arial"/>
        </w:rPr>
        <w:t>$15.5 million under Get Playing Places and Spaces (Round 6) for 129 infrastructure developments</w:t>
      </w:r>
    </w:p>
    <w:p w:rsidR="0028598A" w:rsidRPr="00CD1230" w:rsidRDefault="00B625AF" w:rsidP="00D806AE">
      <w:pPr>
        <w:pStyle w:val="ListParagraph"/>
        <w:numPr>
          <w:ilvl w:val="0"/>
          <w:numId w:val="74"/>
        </w:numPr>
        <w:rPr>
          <w:rFonts w:ascii="Arial" w:hAnsi="Arial" w:cs="Arial"/>
        </w:rPr>
      </w:pPr>
      <w:r w:rsidRPr="00CD1230">
        <w:rPr>
          <w:rFonts w:ascii="Arial" w:hAnsi="Arial" w:cs="Arial"/>
        </w:rPr>
        <w:t>$15.2 million across 45 projects to support targeted infrastructure programs under the Female Facilities Program, to construct functional and inclusive change rooms and amenities that meet the current and future needs of female participants.</w:t>
      </w:r>
    </w:p>
    <w:p w:rsidR="0028598A" w:rsidRPr="00CD1230" w:rsidRDefault="00B625AF" w:rsidP="00D806AE">
      <w:pPr>
        <w:pStyle w:val="ListParagraph"/>
        <w:numPr>
          <w:ilvl w:val="0"/>
          <w:numId w:val="74"/>
        </w:numPr>
        <w:rPr>
          <w:rFonts w:ascii="Arial" w:hAnsi="Arial" w:cs="Arial"/>
        </w:rPr>
      </w:pPr>
      <w:r w:rsidRPr="00CD1230">
        <w:rPr>
          <w:rFonts w:ascii="Arial" w:hAnsi="Arial" w:cs="Arial"/>
        </w:rPr>
        <w:t>We released funding for Round 2 of the Get Planning Spaces program for Queensland based state level sport and active recreation organisations, local governments and other relevant peak organisations to develop quality, evidence- based sport and recreation planning documents.</w:t>
      </w:r>
    </w:p>
    <w:p w:rsidR="0028598A" w:rsidRPr="00CD1230" w:rsidRDefault="00B625AF" w:rsidP="00D806AE">
      <w:pPr>
        <w:pStyle w:val="ListParagraph"/>
        <w:numPr>
          <w:ilvl w:val="0"/>
          <w:numId w:val="74"/>
        </w:numPr>
        <w:rPr>
          <w:rFonts w:ascii="Arial" w:hAnsi="Arial" w:cs="Arial"/>
        </w:rPr>
      </w:pPr>
      <w:r w:rsidRPr="00CD1230">
        <w:rPr>
          <w:rFonts w:ascii="Arial" w:hAnsi="Arial" w:cs="Arial"/>
        </w:rPr>
        <w:t>In 2017–18 we also partnered with sport and recreation industry stakeholders to build capability, enhance social inclusion and deliver outcomes for the community.</w:t>
      </w:r>
    </w:p>
    <w:p w:rsidR="0028598A" w:rsidRPr="00CD1230" w:rsidRDefault="00B625AF" w:rsidP="00D806AE">
      <w:pPr>
        <w:pStyle w:val="ListParagraph"/>
        <w:numPr>
          <w:ilvl w:val="0"/>
          <w:numId w:val="74"/>
        </w:numPr>
        <w:rPr>
          <w:rFonts w:ascii="Arial" w:hAnsi="Arial" w:cs="Arial"/>
        </w:rPr>
      </w:pPr>
      <w:r w:rsidRPr="00CD1230">
        <w:rPr>
          <w:rFonts w:ascii="Arial" w:hAnsi="Arial" w:cs="Arial"/>
        </w:rPr>
        <w:t>Delivery of the three-year, $10 million State Development Program continued throughout the year, to support 77 state-level organisations to provide leadership and coordination of programs and services throughout Queensland.</w:t>
      </w:r>
    </w:p>
    <w:p w:rsidR="0028598A" w:rsidRPr="00C96F1A" w:rsidRDefault="00B625AF" w:rsidP="00CD1230">
      <w:pPr>
        <w:pStyle w:val="Heading6"/>
      </w:pPr>
      <w:r w:rsidRPr="00C96F1A">
        <w:t>Our sporting venues</w:t>
      </w:r>
    </w:p>
    <w:p w:rsidR="0028598A" w:rsidRPr="00C96F1A" w:rsidRDefault="00B625AF" w:rsidP="00C96F1A">
      <w:pPr>
        <w:rPr>
          <w:rFonts w:ascii="Arial" w:hAnsi="Arial" w:cs="Arial"/>
        </w:rPr>
      </w:pPr>
      <w:r w:rsidRPr="00C96F1A">
        <w:rPr>
          <w:rFonts w:ascii="Arial" w:hAnsi="Arial" w:cs="Arial"/>
        </w:rPr>
        <w:t>The department continued to invest in our six sport and recreation venues to ensure they provide contemporary, high quality client experiences.</w:t>
      </w:r>
    </w:p>
    <w:p w:rsidR="0028598A" w:rsidRPr="00C96F1A" w:rsidRDefault="00B625AF" w:rsidP="00C96F1A">
      <w:pPr>
        <w:rPr>
          <w:rFonts w:ascii="Arial" w:hAnsi="Arial" w:cs="Arial"/>
        </w:rPr>
      </w:pPr>
      <w:r w:rsidRPr="00C96F1A">
        <w:rPr>
          <w:rFonts w:ascii="Arial" w:hAnsi="Arial" w:cs="Arial"/>
        </w:rPr>
        <w:t>This investment to provide enhanced facilities and new activities has ensured a strong increase in use and attracted new clients.</w:t>
      </w:r>
    </w:p>
    <w:p w:rsidR="0028598A" w:rsidRPr="00C96F1A" w:rsidRDefault="00B625AF" w:rsidP="00C96F1A">
      <w:pPr>
        <w:rPr>
          <w:rFonts w:ascii="Arial" w:hAnsi="Arial" w:cs="Arial"/>
        </w:rPr>
      </w:pPr>
      <w:r w:rsidRPr="00C96F1A">
        <w:rPr>
          <w:rFonts w:ascii="Arial" w:hAnsi="Arial" w:cs="Arial"/>
        </w:rPr>
        <w:t>In 2017–18:</w:t>
      </w:r>
    </w:p>
    <w:p w:rsidR="0028598A" w:rsidRPr="00CD1230" w:rsidRDefault="00B625AF" w:rsidP="00D806AE">
      <w:pPr>
        <w:pStyle w:val="ListParagraph"/>
        <w:numPr>
          <w:ilvl w:val="0"/>
          <w:numId w:val="75"/>
        </w:numPr>
        <w:rPr>
          <w:rFonts w:ascii="Arial" w:hAnsi="Arial" w:cs="Arial"/>
        </w:rPr>
      </w:pPr>
      <w:r w:rsidRPr="00CD1230">
        <w:rPr>
          <w:rFonts w:ascii="Arial" w:hAnsi="Arial" w:cs="Arial"/>
        </w:rPr>
        <w:t>the Sunshine Coast Recreation Centre hosted the Team Nuie for a pre-Commonwealth Games camp</w:t>
      </w:r>
    </w:p>
    <w:p w:rsidR="0028598A" w:rsidRPr="001F3458" w:rsidRDefault="00B625AF" w:rsidP="006F2791">
      <w:pPr>
        <w:pStyle w:val="ListParagraph"/>
        <w:numPr>
          <w:ilvl w:val="0"/>
          <w:numId w:val="75"/>
        </w:numPr>
        <w:rPr>
          <w:rFonts w:ascii="Arial" w:hAnsi="Arial" w:cs="Arial"/>
        </w:rPr>
      </w:pPr>
      <w:r w:rsidRPr="001F3458">
        <w:rPr>
          <w:rFonts w:ascii="Arial" w:hAnsi="Arial" w:cs="Arial"/>
        </w:rPr>
        <w:t>the Gold Coast Recreation Centre was an official</w:t>
      </w:r>
      <w:r w:rsidR="001F3458" w:rsidRPr="001F3458">
        <w:rPr>
          <w:rFonts w:ascii="Arial" w:hAnsi="Arial" w:cs="Arial"/>
        </w:rPr>
        <w:t xml:space="preserve"> </w:t>
      </w:r>
      <w:r w:rsidRPr="001F3458">
        <w:rPr>
          <w:rFonts w:ascii="Arial" w:hAnsi="Arial" w:cs="Arial"/>
        </w:rPr>
        <w:t>accommodation provider for Games security personnel</w:t>
      </w:r>
    </w:p>
    <w:p w:rsidR="0028598A" w:rsidRPr="00CD1230" w:rsidRDefault="00B625AF" w:rsidP="00D806AE">
      <w:pPr>
        <w:pStyle w:val="ListParagraph"/>
        <w:numPr>
          <w:ilvl w:val="0"/>
          <w:numId w:val="75"/>
        </w:numPr>
        <w:rPr>
          <w:rFonts w:ascii="Arial" w:hAnsi="Arial" w:cs="Arial"/>
        </w:rPr>
      </w:pPr>
      <w:r w:rsidRPr="00CD1230">
        <w:rPr>
          <w:rFonts w:ascii="Arial" w:hAnsi="Arial" w:cs="Arial"/>
        </w:rPr>
        <w:t>the Toowoomba Sports Ground hosted a range of events including:</w:t>
      </w:r>
    </w:p>
    <w:p w:rsidR="0028598A" w:rsidRPr="00CD1230" w:rsidRDefault="00B625AF" w:rsidP="00D806AE">
      <w:pPr>
        <w:pStyle w:val="ListParagraph"/>
        <w:numPr>
          <w:ilvl w:val="0"/>
          <w:numId w:val="76"/>
        </w:numPr>
        <w:rPr>
          <w:rFonts w:ascii="Arial" w:hAnsi="Arial" w:cs="Arial"/>
        </w:rPr>
      </w:pPr>
      <w:r w:rsidRPr="00CD1230">
        <w:rPr>
          <w:rFonts w:ascii="Arial" w:hAnsi="Arial" w:cs="Arial"/>
        </w:rPr>
        <w:t>Brisbane Broncos vs Gold Coast Titans NRL trial match, with attendance of more than 8,700 in February 2018</w:t>
      </w:r>
    </w:p>
    <w:p w:rsidR="0028598A" w:rsidRPr="00CD1230" w:rsidRDefault="00B625AF" w:rsidP="00D806AE">
      <w:pPr>
        <w:pStyle w:val="ListParagraph"/>
        <w:numPr>
          <w:ilvl w:val="0"/>
          <w:numId w:val="76"/>
        </w:numPr>
        <w:rPr>
          <w:rFonts w:ascii="Arial" w:hAnsi="Arial" w:cs="Arial"/>
        </w:rPr>
      </w:pPr>
      <w:r w:rsidRPr="00CD1230">
        <w:rPr>
          <w:rFonts w:ascii="Arial" w:hAnsi="Arial" w:cs="Arial"/>
        </w:rPr>
        <w:t>Gold Coast Titans vs St George Dragons NRL match, with attendance of more than 7,500 in March 2018.</w:t>
      </w:r>
    </w:p>
    <w:p w:rsidR="0028598A" w:rsidRPr="00CD1230" w:rsidRDefault="00B625AF" w:rsidP="00D806AE">
      <w:pPr>
        <w:pStyle w:val="ListParagraph"/>
        <w:numPr>
          <w:ilvl w:val="0"/>
          <w:numId w:val="77"/>
        </w:numPr>
        <w:rPr>
          <w:rFonts w:ascii="Arial" w:hAnsi="Arial" w:cs="Arial"/>
        </w:rPr>
      </w:pPr>
      <w:r w:rsidRPr="00CD1230">
        <w:rPr>
          <w:rFonts w:ascii="Arial" w:hAnsi="Arial" w:cs="Arial"/>
        </w:rPr>
        <w:t>the Townsville Sport and Recreation Precinct hosted four rugby league world cup international teams in November 2017, and the Commonwealth Games Queen’s Baton Relay in March 2018</w:t>
      </w:r>
    </w:p>
    <w:p w:rsidR="0028598A" w:rsidRPr="00CD1230" w:rsidRDefault="00B625AF" w:rsidP="00D806AE">
      <w:pPr>
        <w:pStyle w:val="ListParagraph"/>
        <w:numPr>
          <w:ilvl w:val="0"/>
          <w:numId w:val="77"/>
        </w:numPr>
        <w:rPr>
          <w:rFonts w:ascii="Arial" w:hAnsi="Arial" w:cs="Arial"/>
        </w:rPr>
      </w:pPr>
      <w:r w:rsidRPr="00CD1230">
        <w:rPr>
          <w:rFonts w:ascii="Arial" w:hAnsi="Arial" w:cs="Arial"/>
        </w:rPr>
        <w:t>Sport Houses in Milton and Woolloongabba continued to offer low-cost office accommodation, office equipment, administrative services and affordable meeting and training room hire to peak sport and recreation entities, community and government organisations.</w:t>
      </w:r>
    </w:p>
    <w:p w:rsidR="00CD1230" w:rsidRPr="00C96F1A" w:rsidRDefault="00CD1230" w:rsidP="00CD1230">
      <w:pPr>
        <w:pStyle w:val="Heading6"/>
      </w:pPr>
      <w:r w:rsidRPr="00C96F1A">
        <w:t>Supporting our elite athletes</w:t>
      </w:r>
    </w:p>
    <w:p w:rsidR="00CD1230" w:rsidRPr="00C96F1A" w:rsidRDefault="00CD1230" w:rsidP="00CD1230">
      <w:pPr>
        <w:rPr>
          <w:rFonts w:ascii="Arial" w:hAnsi="Arial" w:cs="Arial"/>
        </w:rPr>
      </w:pPr>
      <w:r w:rsidRPr="00C96F1A">
        <w:rPr>
          <w:rFonts w:ascii="Arial" w:hAnsi="Arial" w:cs="Arial"/>
        </w:rPr>
        <w:t>The department supported Queensland athletes to achieve great results at the 2018 Gold Coast Commonwealth Games, with 128 Queensland athletes competing, equating to 27 per cent of the Australian team.</w:t>
      </w:r>
    </w:p>
    <w:p w:rsidR="00CD1230" w:rsidRPr="00C96F1A" w:rsidRDefault="00CD1230" w:rsidP="00CD1230">
      <w:pPr>
        <w:rPr>
          <w:rFonts w:ascii="Arial" w:hAnsi="Arial" w:cs="Arial"/>
        </w:rPr>
      </w:pPr>
      <w:r w:rsidRPr="00C96F1A">
        <w:rPr>
          <w:rFonts w:ascii="Arial" w:hAnsi="Arial" w:cs="Arial"/>
        </w:rPr>
        <w:t>Queensland athletes won 36 gold, 27 silver and 27 bronze medals at the Games – 45 per cent of the medals won by the Australian team.</w:t>
      </w:r>
    </w:p>
    <w:p w:rsidR="00CD1230" w:rsidRPr="00C96F1A" w:rsidRDefault="00CD1230" w:rsidP="00CD1230">
      <w:pPr>
        <w:rPr>
          <w:rFonts w:ascii="Arial" w:hAnsi="Arial" w:cs="Arial"/>
        </w:rPr>
      </w:pPr>
      <w:r w:rsidRPr="00C96F1A">
        <w:rPr>
          <w:rFonts w:ascii="Arial" w:hAnsi="Arial" w:cs="Arial"/>
        </w:rPr>
        <w:t>The department also continued to develop the state’s elite athletes through coaching, related support services and support science research.</w:t>
      </w:r>
    </w:p>
    <w:p w:rsidR="00CD1230" w:rsidRPr="00C96F1A" w:rsidRDefault="00CD1230" w:rsidP="00CD1230">
      <w:pPr>
        <w:rPr>
          <w:rFonts w:ascii="Arial" w:hAnsi="Arial" w:cs="Arial"/>
        </w:rPr>
      </w:pPr>
      <w:r w:rsidRPr="00C96F1A">
        <w:rPr>
          <w:rFonts w:ascii="Arial" w:hAnsi="Arial" w:cs="Arial"/>
        </w:rPr>
        <w:lastRenderedPageBreak/>
        <w:t>In 2017–18, we:</w:t>
      </w:r>
    </w:p>
    <w:p w:rsidR="00CD1230" w:rsidRPr="00CD1230" w:rsidRDefault="00CD1230" w:rsidP="00D806AE">
      <w:pPr>
        <w:pStyle w:val="ListParagraph"/>
        <w:numPr>
          <w:ilvl w:val="0"/>
          <w:numId w:val="78"/>
        </w:numPr>
        <w:rPr>
          <w:rFonts w:ascii="Arial" w:hAnsi="Arial" w:cs="Arial"/>
        </w:rPr>
      </w:pPr>
      <w:r w:rsidRPr="00CD1230">
        <w:rPr>
          <w:rFonts w:ascii="Arial" w:hAnsi="Arial" w:cs="Arial"/>
        </w:rPr>
        <w:t>established a permanent presence for the Queensland Academy of Sport at the Runaway Bay Super Sports Centre on the Gold Coast in July 2017, to service nationally categorised athletes residing in the region</w:t>
      </w:r>
    </w:p>
    <w:p w:rsidR="00CD1230" w:rsidRPr="00CD1230" w:rsidRDefault="00CD1230" w:rsidP="00D806AE">
      <w:pPr>
        <w:pStyle w:val="ListParagraph"/>
        <w:numPr>
          <w:ilvl w:val="0"/>
          <w:numId w:val="78"/>
        </w:numPr>
        <w:rPr>
          <w:rFonts w:ascii="Arial" w:hAnsi="Arial" w:cs="Arial"/>
        </w:rPr>
      </w:pPr>
      <w:r w:rsidRPr="00CD1230">
        <w:rPr>
          <w:rFonts w:ascii="Arial" w:hAnsi="Arial" w:cs="Arial"/>
        </w:rPr>
        <w:t>established a collaborative research bursary, in partnership with Bond University, to enrol a student in a PhD program under the supervision of an internationally recognised expert in sport management research to research the role of sport in the integration of refugee women in Australia</w:t>
      </w:r>
    </w:p>
    <w:p w:rsidR="00CD1230" w:rsidRPr="00CD1230" w:rsidRDefault="00CD1230" w:rsidP="00D806AE">
      <w:pPr>
        <w:pStyle w:val="ListParagraph"/>
        <w:numPr>
          <w:ilvl w:val="0"/>
          <w:numId w:val="78"/>
        </w:numPr>
        <w:rPr>
          <w:rFonts w:ascii="Arial" w:hAnsi="Arial" w:cs="Arial"/>
        </w:rPr>
      </w:pPr>
      <w:r w:rsidRPr="00CD1230">
        <w:rPr>
          <w:rFonts w:ascii="Arial" w:hAnsi="Arial" w:cs="Arial"/>
        </w:rPr>
        <w:t>supported Queensland Academy of Sport athletes to engage with the community to inspire and encourage participation in sport, including 438 school visits through the QAS4Schools program.</w:t>
      </w:r>
    </w:p>
    <w:p w:rsidR="00CD1230" w:rsidRPr="00C96F1A" w:rsidRDefault="00CD1230" w:rsidP="00CD1230">
      <w:pPr>
        <w:pStyle w:val="Heading3"/>
      </w:pPr>
      <w:r w:rsidRPr="00C96F1A">
        <w:t>Our future focus</w:t>
      </w:r>
    </w:p>
    <w:p w:rsidR="00CD1230" w:rsidRPr="00C96F1A" w:rsidRDefault="00CD1230" w:rsidP="00CD1230">
      <w:pPr>
        <w:rPr>
          <w:rFonts w:ascii="Arial" w:hAnsi="Arial" w:cs="Arial"/>
        </w:rPr>
      </w:pPr>
      <w:r w:rsidRPr="00C96F1A">
        <w:rPr>
          <w:rFonts w:ascii="Arial" w:hAnsi="Arial" w:cs="Arial"/>
        </w:rPr>
        <w:t xml:space="preserve">In 2018–19, the department will continue to develop a </w:t>
      </w:r>
      <w:r w:rsidRPr="001F3458">
        <w:rPr>
          <w:rFonts w:ascii="Arial" w:hAnsi="Arial" w:cs="Arial"/>
          <w:i/>
        </w:rPr>
        <w:t>Queensland Sport and Active Recreation Strategy 2019–29</w:t>
      </w:r>
      <w:r w:rsidRPr="00C96F1A">
        <w:rPr>
          <w:rFonts w:ascii="Arial" w:hAnsi="Arial" w:cs="Arial"/>
        </w:rPr>
        <w:t xml:space="preserve"> through extensive consultation.</w:t>
      </w:r>
    </w:p>
    <w:p w:rsidR="00CD1230" w:rsidRPr="00CD1230" w:rsidRDefault="00CD1230" w:rsidP="001F3458">
      <w:pPr>
        <w:rPr>
          <w:rFonts w:ascii="Arial" w:hAnsi="Arial" w:cs="Arial"/>
        </w:rPr>
      </w:pPr>
      <w:r w:rsidRPr="00C96F1A">
        <w:rPr>
          <w:rFonts w:ascii="Arial" w:hAnsi="Arial" w:cs="Arial"/>
        </w:rPr>
        <w:t>Current programs will continue to be administered during the consultation process, with programs beyond 2018–19 to be assessed for alignment with the strategy following community consultation. In 2018–19, Sport and Recreation</w:t>
      </w:r>
      <w:r w:rsidR="001F3458">
        <w:rPr>
          <w:rFonts w:ascii="Arial" w:hAnsi="Arial" w:cs="Arial"/>
        </w:rPr>
        <w:t xml:space="preserve"> </w:t>
      </w:r>
      <w:r w:rsidRPr="00CD1230">
        <w:rPr>
          <w:rFonts w:ascii="Arial" w:hAnsi="Arial" w:cs="Arial"/>
        </w:rPr>
        <w:t>will play a key role in advancing the Government’s responsive government priority and support government and departmental commitments and priorities by:</w:t>
      </w:r>
    </w:p>
    <w:p w:rsidR="00CD1230" w:rsidRPr="00CD1230" w:rsidRDefault="00CD1230" w:rsidP="00D806AE">
      <w:pPr>
        <w:pStyle w:val="ListParagraph"/>
        <w:numPr>
          <w:ilvl w:val="0"/>
          <w:numId w:val="79"/>
        </w:numPr>
        <w:rPr>
          <w:rFonts w:ascii="Arial" w:hAnsi="Arial" w:cs="Arial"/>
        </w:rPr>
      </w:pPr>
      <w:r w:rsidRPr="00CD1230">
        <w:rPr>
          <w:rFonts w:ascii="Arial" w:hAnsi="Arial" w:cs="Arial"/>
        </w:rPr>
        <w:t>continuing partnerships with industry to develop its capacity to deliver quality sport and recreation services state-wide</w:t>
      </w:r>
    </w:p>
    <w:p w:rsidR="00CD1230" w:rsidRPr="00CD1230" w:rsidRDefault="00CD1230" w:rsidP="00D806AE">
      <w:pPr>
        <w:pStyle w:val="ListParagraph"/>
        <w:numPr>
          <w:ilvl w:val="0"/>
          <w:numId w:val="79"/>
        </w:numPr>
        <w:rPr>
          <w:rFonts w:ascii="Arial" w:hAnsi="Arial" w:cs="Arial"/>
        </w:rPr>
      </w:pPr>
      <w:r w:rsidRPr="00CD1230">
        <w:rPr>
          <w:rFonts w:ascii="Arial" w:hAnsi="Arial" w:cs="Arial"/>
        </w:rPr>
        <w:t>ensuring cultural diversity and social cohesion is not a barrier to participation in sport and recreation, through targeted approaches and direct service delivery to support identified Aboriginal and Torres Strait Islander communities</w:t>
      </w:r>
    </w:p>
    <w:p w:rsidR="00CD1230" w:rsidRPr="00CD1230" w:rsidRDefault="00CD1230" w:rsidP="00D806AE">
      <w:pPr>
        <w:pStyle w:val="ListParagraph"/>
        <w:numPr>
          <w:ilvl w:val="0"/>
          <w:numId w:val="79"/>
        </w:numPr>
        <w:rPr>
          <w:rFonts w:ascii="Arial" w:hAnsi="Arial" w:cs="Arial"/>
        </w:rPr>
      </w:pPr>
      <w:r w:rsidRPr="00CD1230">
        <w:rPr>
          <w:rFonts w:ascii="Arial" w:hAnsi="Arial" w:cs="Arial"/>
        </w:rPr>
        <w:t>supporting grassroots sport and recreation participation to encourage opportunities for all Queenslanders, particularly those who can least afford it</w:t>
      </w:r>
    </w:p>
    <w:p w:rsidR="00CD1230" w:rsidRPr="00CD1230" w:rsidRDefault="00CD1230" w:rsidP="00D806AE">
      <w:pPr>
        <w:pStyle w:val="ListParagraph"/>
        <w:numPr>
          <w:ilvl w:val="0"/>
          <w:numId w:val="79"/>
        </w:numPr>
        <w:rPr>
          <w:rFonts w:ascii="Arial" w:hAnsi="Arial" w:cs="Arial"/>
        </w:rPr>
      </w:pPr>
      <w:r w:rsidRPr="00CD1230">
        <w:rPr>
          <w:rFonts w:ascii="Arial" w:hAnsi="Arial" w:cs="Arial"/>
        </w:rPr>
        <w:t>delivering new or upgraded sport and recreation places and spaces, including the Underwood Sports Park, Zillmere Sports Centre and the University of the Sunshine Coast Stadium</w:t>
      </w:r>
    </w:p>
    <w:p w:rsidR="00CD1230" w:rsidRPr="00CD1230" w:rsidRDefault="00CD1230" w:rsidP="00D806AE">
      <w:pPr>
        <w:pStyle w:val="ListParagraph"/>
        <w:numPr>
          <w:ilvl w:val="0"/>
          <w:numId w:val="79"/>
        </w:numPr>
        <w:rPr>
          <w:rFonts w:ascii="Arial" w:hAnsi="Arial" w:cs="Arial"/>
        </w:rPr>
      </w:pPr>
      <w:r w:rsidRPr="00CD1230">
        <w:rPr>
          <w:rFonts w:ascii="Arial" w:hAnsi="Arial" w:cs="Arial"/>
        </w:rPr>
        <w:t>supporting the state’s elite athletes to continue to perform at the highest standard of competition nationally and internationally</w:t>
      </w:r>
    </w:p>
    <w:p w:rsidR="00CD1230" w:rsidRPr="00CD1230" w:rsidRDefault="00CD1230" w:rsidP="00D806AE">
      <w:pPr>
        <w:pStyle w:val="ListParagraph"/>
        <w:numPr>
          <w:ilvl w:val="0"/>
          <w:numId w:val="79"/>
        </w:numPr>
        <w:rPr>
          <w:rFonts w:ascii="Arial" w:hAnsi="Arial" w:cs="Arial"/>
        </w:rPr>
      </w:pPr>
      <w:r w:rsidRPr="00CD1230">
        <w:rPr>
          <w:rFonts w:ascii="Arial" w:hAnsi="Arial" w:cs="Arial"/>
        </w:rPr>
        <w:t>encouraging women to enter, participate and have greater involvement in sport at grassroots and elite levels</w:t>
      </w:r>
    </w:p>
    <w:p w:rsidR="00CD1230" w:rsidRPr="00CD1230" w:rsidRDefault="00CD1230" w:rsidP="00D806AE">
      <w:pPr>
        <w:pStyle w:val="ListParagraph"/>
        <w:numPr>
          <w:ilvl w:val="0"/>
          <w:numId w:val="79"/>
        </w:numPr>
        <w:rPr>
          <w:rFonts w:ascii="Arial" w:hAnsi="Arial" w:cs="Arial"/>
        </w:rPr>
      </w:pPr>
      <w:r w:rsidRPr="00CD1230">
        <w:rPr>
          <w:rFonts w:ascii="Arial" w:hAnsi="Arial" w:cs="Arial"/>
        </w:rPr>
        <w:t>enhancing management and operations of the state’s premier sporting facilities through implementation of the findings of the Stadiums Taskforce Report.</w:t>
      </w:r>
    </w:p>
    <w:p w:rsidR="00F50C10" w:rsidRDefault="00F50C10">
      <w:pPr>
        <w:spacing w:before="0" w:after="0"/>
        <w:rPr>
          <w:rFonts w:ascii="Arial" w:hAnsi="Arial" w:cs="Arial"/>
        </w:rPr>
      </w:pPr>
    </w:p>
    <w:p w:rsidR="007D4F53" w:rsidRDefault="007D4F53">
      <w:pPr>
        <w:spacing w:before="0" w:after="0"/>
        <w:rPr>
          <w:rFonts w:asciiTheme="majorHAnsi" w:eastAsiaTheme="majorEastAsia" w:hAnsiTheme="majorHAnsi" w:cstheme="majorBidi"/>
          <w:b/>
          <w:bCs/>
          <w:caps/>
          <w:color w:val="000000" w:themeColor="text1"/>
          <w:sz w:val="32"/>
          <w:szCs w:val="32"/>
        </w:rPr>
      </w:pPr>
      <w:r>
        <w:rPr>
          <w:caps/>
          <w:color w:val="000000" w:themeColor="text1"/>
          <w:szCs w:val="32"/>
        </w:rPr>
        <w:br w:type="page"/>
      </w:r>
    </w:p>
    <w:p w:rsidR="00F50C10" w:rsidRPr="003E39EB" w:rsidRDefault="00F50C10" w:rsidP="003E39EB">
      <w:pPr>
        <w:pStyle w:val="Heading3"/>
      </w:pPr>
      <w:r w:rsidRPr="003E39EB">
        <w:lastRenderedPageBreak/>
        <w:t>Service Standards</w:t>
      </w:r>
    </w:p>
    <w:tbl>
      <w:tblPr>
        <w:tblW w:w="99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7374"/>
        <w:gridCol w:w="1276"/>
        <w:gridCol w:w="1250"/>
      </w:tblGrid>
      <w:tr w:rsidR="00F50C10" w:rsidTr="00694D7C">
        <w:trPr>
          <w:tblHeader/>
        </w:trPr>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hideMark/>
          </w:tcPr>
          <w:p w:rsidR="00F50C10" w:rsidRDefault="00F50C10" w:rsidP="00694D7C">
            <w:pPr>
              <w:pStyle w:val="TableTextHeading"/>
              <w:jc w:val="left"/>
              <w:rPr>
                <w:color w:val="FFFFFF" w:themeColor="background1"/>
              </w:rPr>
            </w:pPr>
            <w:r w:rsidRPr="11284B68">
              <w:rPr>
                <w:color w:val="FFFFFF" w:themeColor="background1"/>
              </w:rPr>
              <w:t>Service area: Sport and Recreation</w:t>
            </w:r>
            <w:r w:rsidRPr="11284B68">
              <w:rPr>
                <w:color w:val="FFFFFF" w:themeColor="background1"/>
                <w:vertAlign w:val="superscript"/>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F50C10" w:rsidRDefault="00F50C10" w:rsidP="00694D7C">
            <w:pPr>
              <w:pStyle w:val="TableTextHeading"/>
              <w:jc w:val="right"/>
              <w:rPr>
                <w:color w:val="FFFFFF" w:themeColor="background1"/>
              </w:rPr>
            </w:pPr>
            <w:r>
              <w:rPr>
                <w:color w:val="FFFFFF" w:themeColor="background1"/>
              </w:rPr>
              <w:t>2017–18</w:t>
            </w:r>
          </w:p>
          <w:p w:rsidR="00F50C10" w:rsidRDefault="00F50C10" w:rsidP="00694D7C">
            <w:pPr>
              <w:pStyle w:val="TableTextHeading"/>
              <w:jc w:val="right"/>
              <w:rPr>
                <w:color w:val="FFFFFF" w:themeColor="background1"/>
              </w:rPr>
            </w:pPr>
            <w:r w:rsidRPr="11284B68">
              <w:rPr>
                <w:color w:val="FFFFFF" w:themeColor="background1"/>
              </w:rPr>
              <w:t>Target/Est.</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F50C10" w:rsidRDefault="00F50C10" w:rsidP="00694D7C">
            <w:pPr>
              <w:pStyle w:val="TableTextHeading"/>
              <w:jc w:val="right"/>
              <w:rPr>
                <w:color w:val="FFFFFF" w:themeColor="background1"/>
              </w:rPr>
            </w:pPr>
            <w:r>
              <w:rPr>
                <w:color w:val="FFFFFF" w:themeColor="background1"/>
              </w:rPr>
              <w:t>2017–18</w:t>
            </w:r>
          </w:p>
          <w:p w:rsidR="00F50C10" w:rsidRDefault="00F50C10" w:rsidP="00694D7C">
            <w:pPr>
              <w:pStyle w:val="TableTextHeading"/>
              <w:jc w:val="right"/>
              <w:rPr>
                <w:color w:val="FFFFFF" w:themeColor="background1"/>
              </w:rPr>
            </w:pPr>
            <w:r w:rsidRPr="11284B68">
              <w:rPr>
                <w:color w:val="FFFFFF" w:themeColor="background1"/>
              </w:rPr>
              <w:t>Actual</w:t>
            </w:r>
          </w:p>
        </w:tc>
      </w:tr>
      <w:tr w:rsidR="00F50C10" w:rsidTr="00694D7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background1" w:themeFillShade="7F"/>
            <w:vAlign w:val="center"/>
            <w:hideMark/>
          </w:tcPr>
          <w:p w:rsidR="00F50C10" w:rsidRDefault="00F50C10" w:rsidP="00694D7C">
            <w:pPr>
              <w:pStyle w:val="TableTextHeading"/>
              <w:jc w:val="left"/>
              <w:rPr>
                <w:color w:val="FFFFFF" w:themeColor="background1"/>
              </w:rPr>
            </w:pPr>
            <w:r w:rsidRPr="11284B68">
              <w:rPr>
                <w:color w:val="FFFFFF" w:themeColor="background1"/>
              </w:rPr>
              <w:t>Service: Community Support</w:t>
            </w:r>
            <w:r w:rsidRPr="11284B68">
              <w:rPr>
                <w:color w:val="FFFFFF" w:themeColor="background1"/>
                <w:vertAlign w:val="superscript"/>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background1" w:themeFillShade="7F"/>
            <w:vAlign w:val="center"/>
          </w:tcPr>
          <w:p w:rsidR="00F50C10" w:rsidRDefault="00F50C10" w:rsidP="00694D7C">
            <w:pPr>
              <w:pStyle w:val="TableTextHeading"/>
              <w:jc w:val="right"/>
              <w:rPr>
                <w:color w:val="FFFFFF" w:themeColor="background1"/>
              </w:rPr>
            </w:pP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background1" w:themeFillShade="7F"/>
            <w:vAlign w:val="center"/>
          </w:tcPr>
          <w:p w:rsidR="00F50C10" w:rsidRDefault="00F50C10" w:rsidP="00694D7C">
            <w:pPr>
              <w:pStyle w:val="TableTextHeading"/>
              <w:jc w:val="right"/>
              <w:rPr>
                <w:color w:val="FFFFFF" w:themeColor="background1"/>
              </w:rPr>
            </w:pPr>
          </w:p>
        </w:tc>
      </w:tr>
      <w:tr w:rsidR="00F50C10" w:rsidTr="00694D7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rsidR="00F50C10" w:rsidRDefault="00F50C10" w:rsidP="00694D7C">
            <w:pPr>
              <w:pStyle w:val="TableTextBold"/>
            </w:pPr>
            <w:r>
              <w:t>Effectiveness measures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F50C10" w:rsidRDefault="00F50C10" w:rsidP="00694D7C">
            <w:pPr>
              <w:pStyle w:val="TableTextRight"/>
            </w:pP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F50C10" w:rsidRDefault="00F50C10" w:rsidP="00694D7C">
            <w:pPr>
              <w:pStyle w:val="TableTextRight"/>
            </w:pPr>
          </w:p>
        </w:tc>
      </w:tr>
      <w:tr w:rsidR="00F50C10" w:rsidTr="00694D7C">
        <w:tc>
          <w:tcPr>
            <w:tcW w:w="7374" w:type="dxa"/>
            <w:tcBorders>
              <w:top w:val="single" w:sz="4" w:space="0" w:color="000000" w:themeColor="text1"/>
              <w:left w:val="single" w:sz="4" w:space="0" w:color="000000" w:themeColor="text1"/>
              <w:bottom w:val="nil"/>
              <w:right w:val="single" w:sz="4" w:space="0" w:color="000000" w:themeColor="text1"/>
            </w:tcBorders>
            <w:hideMark/>
          </w:tcPr>
          <w:p w:rsidR="00F50C10" w:rsidRPr="005E3178" w:rsidRDefault="00F50C10" w:rsidP="00694D7C">
            <w:pPr>
              <w:pStyle w:val="TableText"/>
              <w:rPr>
                <w:rFonts w:eastAsia="Arial" w:cs="Arial"/>
              </w:rPr>
            </w:pPr>
            <w:r>
              <w:t>Participants' overall satisfaction with the department's education and training programs</w:t>
            </w:r>
          </w:p>
        </w:tc>
        <w:tc>
          <w:tcPr>
            <w:tcW w:w="1276" w:type="dxa"/>
            <w:tcBorders>
              <w:top w:val="single" w:sz="4" w:space="0" w:color="000000" w:themeColor="text1"/>
              <w:left w:val="single" w:sz="4" w:space="0" w:color="000000" w:themeColor="text1"/>
              <w:bottom w:val="nil"/>
              <w:right w:val="single" w:sz="4" w:space="0" w:color="000000" w:themeColor="text1"/>
            </w:tcBorders>
            <w:hideMark/>
          </w:tcPr>
          <w:p w:rsidR="00F50C10" w:rsidRPr="005E3178" w:rsidRDefault="00F50C10" w:rsidP="00694D7C">
            <w:pPr>
              <w:pStyle w:val="TableTextRight"/>
              <w:rPr>
                <w:rFonts w:eastAsia="Arial" w:cs="Arial"/>
              </w:rPr>
            </w:pPr>
            <w:r>
              <w:t>90%</w:t>
            </w:r>
          </w:p>
        </w:tc>
        <w:tc>
          <w:tcPr>
            <w:tcW w:w="1250" w:type="dxa"/>
            <w:tcBorders>
              <w:top w:val="single" w:sz="4" w:space="0" w:color="000000" w:themeColor="text1"/>
              <w:left w:val="single" w:sz="4" w:space="0" w:color="000000" w:themeColor="text1"/>
              <w:bottom w:val="nil"/>
              <w:right w:val="single" w:sz="4" w:space="0" w:color="000000" w:themeColor="text1"/>
            </w:tcBorders>
            <w:hideMark/>
          </w:tcPr>
          <w:p w:rsidR="00F50C10" w:rsidRPr="005E3178" w:rsidRDefault="00F50C10" w:rsidP="00694D7C">
            <w:pPr>
              <w:pStyle w:val="TableTextRight"/>
              <w:rPr>
                <w:rFonts w:eastAsia="Arial" w:cs="Arial"/>
              </w:rPr>
            </w:pPr>
            <w:r w:rsidRPr="00843159">
              <w:t>96.5%</w:t>
            </w:r>
          </w:p>
        </w:tc>
      </w:tr>
      <w:tr w:rsidR="00F50C10" w:rsidTr="00694D7C">
        <w:tc>
          <w:tcPr>
            <w:tcW w:w="7374" w:type="dxa"/>
            <w:tcBorders>
              <w:top w:val="nil"/>
              <w:left w:val="single" w:sz="4" w:space="0" w:color="000000" w:themeColor="text1"/>
              <w:bottom w:val="single" w:sz="4" w:space="0" w:color="000000" w:themeColor="text1"/>
              <w:right w:val="single" w:sz="4" w:space="0" w:color="000000" w:themeColor="text1"/>
            </w:tcBorders>
            <w:vAlign w:val="bottom"/>
            <w:hideMark/>
          </w:tcPr>
          <w:p w:rsidR="00F50C10" w:rsidRDefault="00F50C10" w:rsidP="00694D7C">
            <w:pPr>
              <w:pStyle w:val="TableText"/>
            </w:pPr>
            <w:r w:rsidRPr="599807E0">
              <w:rPr>
                <w:rFonts w:ascii="Arial Narrow" w:eastAsia="Arial Narrow" w:hAnsi="Arial Narrow" w:cs="Arial Narrow"/>
                <w:i/>
                <w:iCs/>
                <w:sz w:val="16"/>
                <w:szCs w:val="16"/>
              </w:rPr>
              <w:t>As Sport and Recreation continues to exceed participant expectations (the 2016–17 Actual was 95%), the target has been increased from 90% to 95% for 2018–19.</w:t>
            </w:r>
          </w:p>
        </w:tc>
        <w:tc>
          <w:tcPr>
            <w:tcW w:w="1276" w:type="dxa"/>
            <w:tcBorders>
              <w:top w:val="nil"/>
              <w:left w:val="single" w:sz="4" w:space="0" w:color="000000" w:themeColor="text1"/>
              <w:bottom w:val="single" w:sz="4" w:space="0" w:color="000000" w:themeColor="text1"/>
              <w:right w:val="single" w:sz="4" w:space="0" w:color="000000" w:themeColor="text1"/>
            </w:tcBorders>
          </w:tcPr>
          <w:p w:rsidR="00F50C10" w:rsidRDefault="00F50C10" w:rsidP="00694D7C">
            <w:pPr>
              <w:pStyle w:val="TableTextRight"/>
            </w:pPr>
          </w:p>
        </w:tc>
        <w:tc>
          <w:tcPr>
            <w:tcW w:w="1250" w:type="dxa"/>
            <w:tcBorders>
              <w:top w:val="nil"/>
              <w:left w:val="single" w:sz="4" w:space="0" w:color="000000" w:themeColor="text1"/>
              <w:bottom w:val="single" w:sz="4" w:space="0" w:color="000000" w:themeColor="text1"/>
              <w:right w:val="single" w:sz="4" w:space="0" w:color="000000" w:themeColor="text1"/>
            </w:tcBorders>
          </w:tcPr>
          <w:p w:rsidR="00F50C10" w:rsidRPr="00843159" w:rsidRDefault="00F50C10" w:rsidP="00694D7C">
            <w:pPr>
              <w:pStyle w:val="TableTextRight"/>
            </w:pPr>
          </w:p>
        </w:tc>
      </w:tr>
      <w:tr w:rsidR="00F50C10" w:rsidTr="00694D7C">
        <w:tc>
          <w:tcPr>
            <w:tcW w:w="7374" w:type="dxa"/>
            <w:tcBorders>
              <w:top w:val="single" w:sz="4" w:space="0" w:color="000000" w:themeColor="text1"/>
              <w:left w:val="single" w:sz="4" w:space="0" w:color="000000" w:themeColor="text1"/>
              <w:bottom w:val="nil"/>
              <w:right w:val="single" w:sz="4" w:space="0" w:color="000000" w:themeColor="text1"/>
            </w:tcBorders>
            <w:hideMark/>
          </w:tcPr>
          <w:p w:rsidR="00F50C10" w:rsidRPr="005E3178" w:rsidRDefault="00F50C10" w:rsidP="00694D7C">
            <w:pPr>
              <w:pStyle w:val="TableText"/>
              <w:rPr>
                <w:rFonts w:eastAsia="Arial" w:cs="Arial"/>
              </w:rPr>
            </w:pPr>
            <w:r>
              <w:t>Percentage of young people redeeming a Get Started voucher who have not played club sport before</w:t>
            </w:r>
          </w:p>
        </w:tc>
        <w:tc>
          <w:tcPr>
            <w:tcW w:w="1276" w:type="dxa"/>
            <w:tcBorders>
              <w:top w:val="single" w:sz="4" w:space="0" w:color="000000" w:themeColor="text1"/>
              <w:left w:val="single" w:sz="4" w:space="0" w:color="000000" w:themeColor="text1"/>
              <w:bottom w:val="nil"/>
              <w:right w:val="single" w:sz="4" w:space="0" w:color="000000" w:themeColor="text1"/>
            </w:tcBorders>
            <w:hideMark/>
          </w:tcPr>
          <w:p w:rsidR="00F50C10" w:rsidRPr="005E3178" w:rsidRDefault="00F50C10" w:rsidP="00694D7C">
            <w:pPr>
              <w:pStyle w:val="TableTextRight"/>
              <w:rPr>
                <w:rFonts w:eastAsia="Arial" w:cs="Arial"/>
              </w:rPr>
            </w:pPr>
            <w:r>
              <w:t>15%</w:t>
            </w:r>
          </w:p>
        </w:tc>
        <w:tc>
          <w:tcPr>
            <w:tcW w:w="1250" w:type="dxa"/>
            <w:tcBorders>
              <w:top w:val="single" w:sz="4" w:space="0" w:color="000000" w:themeColor="text1"/>
              <w:left w:val="single" w:sz="4" w:space="0" w:color="000000" w:themeColor="text1"/>
              <w:bottom w:val="nil"/>
              <w:right w:val="single" w:sz="4" w:space="0" w:color="000000" w:themeColor="text1"/>
            </w:tcBorders>
            <w:hideMark/>
          </w:tcPr>
          <w:p w:rsidR="00F50C10" w:rsidRPr="005E3178" w:rsidRDefault="00F50C10" w:rsidP="00694D7C">
            <w:pPr>
              <w:pStyle w:val="TableTextRight"/>
              <w:rPr>
                <w:rFonts w:eastAsia="Arial" w:cs="Arial"/>
              </w:rPr>
            </w:pPr>
            <w:r w:rsidRPr="00843159">
              <w:t>20.3%</w:t>
            </w:r>
          </w:p>
        </w:tc>
      </w:tr>
      <w:tr w:rsidR="00F50C10" w:rsidTr="00694D7C">
        <w:tc>
          <w:tcPr>
            <w:tcW w:w="7374" w:type="dxa"/>
            <w:tcBorders>
              <w:top w:val="single" w:sz="4" w:space="0" w:color="000000" w:themeColor="text1"/>
              <w:left w:val="single" w:sz="4" w:space="0" w:color="000000" w:themeColor="text1"/>
              <w:bottom w:val="nil"/>
              <w:right w:val="single" w:sz="4" w:space="0" w:color="000000" w:themeColor="text1"/>
            </w:tcBorders>
            <w:hideMark/>
          </w:tcPr>
          <w:p w:rsidR="00F50C10" w:rsidRPr="005E3178" w:rsidRDefault="00F50C10" w:rsidP="00694D7C">
            <w:pPr>
              <w:pStyle w:val="TableText"/>
              <w:rPr>
                <w:rFonts w:eastAsia="Arial" w:cs="Arial"/>
              </w:rPr>
            </w:pPr>
            <w:r>
              <w:t>Percentage of athletes selected for national teams supported by the Queensland Academy of Sport</w:t>
            </w:r>
          </w:p>
        </w:tc>
        <w:tc>
          <w:tcPr>
            <w:tcW w:w="1276" w:type="dxa"/>
            <w:tcBorders>
              <w:top w:val="single" w:sz="4" w:space="0" w:color="000000" w:themeColor="text1"/>
              <w:left w:val="single" w:sz="4" w:space="0" w:color="000000" w:themeColor="text1"/>
              <w:bottom w:val="nil"/>
              <w:right w:val="single" w:sz="4" w:space="0" w:color="000000" w:themeColor="text1"/>
            </w:tcBorders>
            <w:hideMark/>
          </w:tcPr>
          <w:p w:rsidR="00F50C10" w:rsidRPr="005E3178" w:rsidRDefault="00F50C10" w:rsidP="00694D7C">
            <w:pPr>
              <w:pStyle w:val="TableText"/>
              <w:jc w:val="right"/>
              <w:rPr>
                <w:rFonts w:eastAsia="Arial" w:cs="Arial"/>
              </w:rPr>
            </w:pPr>
            <w:r>
              <w:t>25%</w:t>
            </w:r>
          </w:p>
        </w:tc>
        <w:tc>
          <w:tcPr>
            <w:tcW w:w="1250" w:type="dxa"/>
            <w:tcBorders>
              <w:top w:val="single" w:sz="4" w:space="0" w:color="000000" w:themeColor="text1"/>
              <w:left w:val="single" w:sz="4" w:space="0" w:color="000000" w:themeColor="text1"/>
              <w:bottom w:val="nil"/>
              <w:right w:val="single" w:sz="4" w:space="0" w:color="000000" w:themeColor="text1"/>
            </w:tcBorders>
            <w:hideMark/>
          </w:tcPr>
          <w:p w:rsidR="00F50C10" w:rsidRPr="005E3178" w:rsidRDefault="00F50C10" w:rsidP="00694D7C">
            <w:pPr>
              <w:pStyle w:val="TableText"/>
              <w:jc w:val="right"/>
              <w:rPr>
                <w:rFonts w:eastAsia="Arial" w:cs="Arial"/>
              </w:rPr>
            </w:pPr>
            <w:r w:rsidRPr="00843159">
              <w:t>35%</w:t>
            </w:r>
          </w:p>
        </w:tc>
      </w:tr>
      <w:tr w:rsidR="00F50C10" w:rsidTr="00694D7C">
        <w:tc>
          <w:tcPr>
            <w:tcW w:w="7374" w:type="dxa"/>
            <w:tcBorders>
              <w:top w:val="nil"/>
              <w:left w:val="single" w:sz="4" w:space="0" w:color="000000" w:themeColor="text1"/>
              <w:bottom w:val="single" w:sz="4" w:space="0" w:color="000000" w:themeColor="text1"/>
              <w:right w:val="single" w:sz="4" w:space="0" w:color="000000" w:themeColor="text1"/>
            </w:tcBorders>
            <w:vAlign w:val="bottom"/>
            <w:hideMark/>
          </w:tcPr>
          <w:p w:rsidR="00F50C10" w:rsidRPr="005B7038" w:rsidRDefault="00F50C10" w:rsidP="00694D7C">
            <w:pPr>
              <w:pStyle w:val="TableText"/>
              <w:rPr>
                <w:rFonts w:ascii="Arial Narrow" w:eastAsia="Arial Narrow" w:hAnsi="Arial Narrow" w:cs="Arial Narrow"/>
                <w:i/>
                <w:sz w:val="16"/>
                <w:szCs w:val="16"/>
              </w:rPr>
            </w:pPr>
            <w:r w:rsidRPr="599807E0">
              <w:rPr>
                <w:rFonts w:ascii="Arial Narrow" w:eastAsia="Arial Narrow" w:hAnsi="Arial Narrow" w:cs="Arial Narrow"/>
                <w:i/>
                <w:iCs/>
                <w:sz w:val="16"/>
                <w:szCs w:val="16"/>
              </w:rPr>
              <w:t>Variance between 2017–18 Target/Estimate and 2017–18 Actual is due to better than expected representation from Queensland on the Commonwealth Games team.</w:t>
            </w:r>
          </w:p>
        </w:tc>
        <w:tc>
          <w:tcPr>
            <w:tcW w:w="1276" w:type="dxa"/>
            <w:tcBorders>
              <w:top w:val="nil"/>
              <w:left w:val="single" w:sz="4" w:space="0" w:color="000000" w:themeColor="text1"/>
              <w:bottom w:val="single" w:sz="4" w:space="0" w:color="000000" w:themeColor="text1"/>
              <w:right w:val="single" w:sz="4" w:space="0" w:color="000000" w:themeColor="text1"/>
            </w:tcBorders>
          </w:tcPr>
          <w:p w:rsidR="00F50C10" w:rsidRDefault="00F50C10" w:rsidP="00694D7C">
            <w:pPr>
              <w:pStyle w:val="TableTextRight"/>
            </w:pPr>
          </w:p>
        </w:tc>
        <w:tc>
          <w:tcPr>
            <w:tcW w:w="1250" w:type="dxa"/>
            <w:tcBorders>
              <w:top w:val="nil"/>
              <w:left w:val="single" w:sz="4" w:space="0" w:color="000000" w:themeColor="text1"/>
              <w:bottom w:val="single" w:sz="4" w:space="0" w:color="000000" w:themeColor="text1"/>
              <w:right w:val="single" w:sz="4" w:space="0" w:color="000000" w:themeColor="text1"/>
            </w:tcBorders>
          </w:tcPr>
          <w:p w:rsidR="00F50C10" w:rsidRPr="00843159" w:rsidRDefault="00F50C10" w:rsidP="00694D7C">
            <w:pPr>
              <w:pStyle w:val="TableTextRight"/>
            </w:pPr>
          </w:p>
        </w:tc>
      </w:tr>
      <w:tr w:rsidR="00F50C10" w:rsidTr="00694D7C">
        <w:trPr>
          <w:trHeight w:val="60"/>
        </w:trPr>
        <w:tc>
          <w:tcPr>
            <w:tcW w:w="7374" w:type="dxa"/>
            <w:tcBorders>
              <w:top w:val="single" w:sz="4" w:space="0" w:color="000000" w:themeColor="text1"/>
              <w:left w:val="single" w:sz="4" w:space="0" w:color="000000" w:themeColor="text1"/>
              <w:bottom w:val="nil"/>
              <w:right w:val="single" w:sz="4" w:space="0" w:color="000000" w:themeColor="text1"/>
            </w:tcBorders>
            <w:hideMark/>
          </w:tcPr>
          <w:p w:rsidR="00F50C10" w:rsidRPr="005E3178" w:rsidRDefault="00F50C10" w:rsidP="00694D7C">
            <w:pPr>
              <w:pStyle w:val="TableText"/>
              <w:rPr>
                <w:rFonts w:eastAsia="Arial" w:cs="Arial"/>
              </w:rPr>
            </w:pPr>
            <w:r>
              <w:t>Co-contribution ratio of partnership investment to the Queensland Academy of Sport investment in grants research projects</w:t>
            </w:r>
          </w:p>
        </w:tc>
        <w:tc>
          <w:tcPr>
            <w:tcW w:w="1276" w:type="dxa"/>
            <w:tcBorders>
              <w:top w:val="single" w:sz="4" w:space="0" w:color="000000" w:themeColor="text1"/>
              <w:left w:val="single" w:sz="4" w:space="0" w:color="000000" w:themeColor="text1"/>
              <w:bottom w:val="nil"/>
              <w:right w:val="single" w:sz="4" w:space="0" w:color="000000" w:themeColor="text1"/>
            </w:tcBorders>
            <w:hideMark/>
          </w:tcPr>
          <w:p w:rsidR="00F50C10" w:rsidRPr="005E3178" w:rsidRDefault="00F50C10" w:rsidP="00694D7C">
            <w:pPr>
              <w:pStyle w:val="TableText"/>
              <w:jc w:val="right"/>
              <w:rPr>
                <w:rFonts w:eastAsia="Arial" w:cs="Arial"/>
              </w:rPr>
            </w:pPr>
            <w:r>
              <w:t xml:space="preserve">1:1 </w:t>
            </w:r>
          </w:p>
        </w:tc>
        <w:tc>
          <w:tcPr>
            <w:tcW w:w="1250" w:type="dxa"/>
            <w:tcBorders>
              <w:top w:val="single" w:sz="4" w:space="0" w:color="000000" w:themeColor="text1"/>
              <w:left w:val="single" w:sz="4" w:space="0" w:color="000000" w:themeColor="text1"/>
              <w:bottom w:val="nil"/>
              <w:right w:val="single" w:sz="4" w:space="0" w:color="000000" w:themeColor="text1"/>
            </w:tcBorders>
            <w:hideMark/>
          </w:tcPr>
          <w:p w:rsidR="00F50C10" w:rsidRPr="005E3178" w:rsidRDefault="00F50C10" w:rsidP="00694D7C">
            <w:pPr>
              <w:pStyle w:val="TableText"/>
              <w:jc w:val="right"/>
              <w:rPr>
                <w:rFonts w:eastAsia="Arial" w:cs="Arial"/>
              </w:rPr>
            </w:pPr>
            <w:r w:rsidRPr="00843159">
              <w:t>2:23</w:t>
            </w:r>
          </w:p>
        </w:tc>
      </w:tr>
      <w:tr w:rsidR="00F50C10" w:rsidTr="00694D7C">
        <w:tc>
          <w:tcPr>
            <w:tcW w:w="7374" w:type="dxa"/>
            <w:tcBorders>
              <w:top w:val="nil"/>
              <w:left w:val="single" w:sz="4" w:space="0" w:color="000000" w:themeColor="text1"/>
              <w:bottom w:val="single" w:sz="4" w:space="0" w:color="000000" w:themeColor="text1"/>
              <w:right w:val="single" w:sz="4" w:space="0" w:color="000000" w:themeColor="text1"/>
            </w:tcBorders>
            <w:vAlign w:val="bottom"/>
            <w:hideMark/>
          </w:tcPr>
          <w:p w:rsidR="00F50C10" w:rsidRPr="002223E2" w:rsidRDefault="002223E2" w:rsidP="002223E2">
            <w:pPr>
              <w:pStyle w:val="TableText"/>
              <w:rPr>
                <w:rFonts w:ascii="MetaNormalLF-Italic" w:eastAsiaTheme="minorEastAsia" w:hAnsi="MetaNormalLF-Italic" w:cs="MetaNormalLF-Italic"/>
                <w:color w:val="3F3F41"/>
                <w:sz w:val="14"/>
                <w:szCs w:val="14"/>
              </w:rPr>
            </w:pPr>
            <w:r w:rsidRPr="002223E2">
              <w:rPr>
                <w:rFonts w:ascii="Arial Narrow" w:eastAsia="Arial Narrow" w:hAnsi="Arial Narrow" w:cs="Arial Narrow"/>
                <w:i/>
                <w:iCs/>
                <w:sz w:val="16"/>
                <w:szCs w:val="16"/>
              </w:rPr>
              <w:t>While QAS funding of collaborative research projects continues to exceed expectations, amendments to the National High Performance Sport Funding Framework (Australian Institute of Sport) has the potential to impact on future funding available to national sporting organisations and ability to invest with QAS led research. Although the funding investment ratio increased from 1:0.5 to 1:1 in recent years and the partner contribution exceeded the target for 2017–18, further increases from the 1:1 ratio are likely to be unsustainable for investment partners going forward.</w:t>
            </w:r>
            <w:r>
              <w:rPr>
                <w:rFonts w:cs="MetaNormalLF-Italic"/>
                <w:color w:val="3F3F41"/>
                <w:sz w:val="14"/>
                <w:szCs w:val="14"/>
              </w:rPr>
              <w:t xml:space="preserve"> </w:t>
            </w:r>
          </w:p>
        </w:tc>
        <w:tc>
          <w:tcPr>
            <w:tcW w:w="1276" w:type="dxa"/>
            <w:tcBorders>
              <w:top w:val="nil"/>
              <w:left w:val="single" w:sz="4" w:space="0" w:color="000000" w:themeColor="text1"/>
              <w:bottom w:val="single" w:sz="4" w:space="0" w:color="000000" w:themeColor="text1"/>
              <w:right w:val="single" w:sz="4" w:space="0" w:color="000000" w:themeColor="text1"/>
            </w:tcBorders>
          </w:tcPr>
          <w:p w:rsidR="00F50C10" w:rsidRDefault="00F50C10" w:rsidP="00694D7C">
            <w:pPr>
              <w:pStyle w:val="TableTextRight"/>
            </w:pPr>
          </w:p>
        </w:tc>
        <w:tc>
          <w:tcPr>
            <w:tcW w:w="1250" w:type="dxa"/>
            <w:tcBorders>
              <w:top w:val="nil"/>
              <w:left w:val="single" w:sz="4" w:space="0" w:color="000000" w:themeColor="text1"/>
              <w:bottom w:val="single" w:sz="4" w:space="0" w:color="000000" w:themeColor="text1"/>
              <w:right w:val="single" w:sz="4" w:space="0" w:color="000000" w:themeColor="text1"/>
            </w:tcBorders>
          </w:tcPr>
          <w:p w:rsidR="00F50C10" w:rsidRPr="00843159" w:rsidRDefault="00F50C10" w:rsidP="00694D7C">
            <w:pPr>
              <w:pStyle w:val="TableTextRight"/>
            </w:pPr>
          </w:p>
        </w:tc>
      </w:tr>
      <w:tr w:rsidR="00F50C10" w:rsidTr="00694D7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F50C10" w:rsidRDefault="00F50C10" w:rsidP="00694D7C">
            <w:pPr>
              <w:pStyle w:val="TableTextBold"/>
              <w:rPr>
                <w:vertAlign w:val="superscript"/>
              </w:rPr>
            </w:pPr>
            <w:r>
              <w:t>Efficiency measure</w:t>
            </w:r>
            <w:r>
              <w:rPr>
                <w:vertAlign w:val="superscript"/>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50C10" w:rsidRDefault="00F50C10" w:rsidP="00694D7C">
            <w:pPr>
              <w:pStyle w:val="TableTextRight"/>
            </w:pP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50C10" w:rsidRPr="00843159" w:rsidRDefault="00F50C10" w:rsidP="00694D7C">
            <w:pPr>
              <w:pStyle w:val="TableTextRight"/>
            </w:pPr>
          </w:p>
        </w:tc>
      </w:tr>
      <w:tr w:rsidR="00F50C10" w:rsidTr="00694D7C">
        <w:tc>
          <w:tcPr>
            <w:tcW w:w="7374" w:type="dxa"/>
            <w:tcBorders>
              <w:top w:val="single" w:sz="4" w:space="0" w:color="000000" w:themeColor="text1"/>
              <w:left w:val="single" w:sz="4" w:space="0" w:color="000000" w:themeColor="text1"/>
              <w:bottom w:val="nil"/>
              <w:right w:val="single" w:sz="4" w:space="0" w:color="000000" w:themeColor="text1"/>
            </w:tcBorders>
            <w:hideMark/>
          </w:tcPr>
          <w:p w:rsidR="00F50C10" w:rsidRPr="005E3178" w:rsidRDefault="00F50C10" w:rsidP="00694D7C">
            <w:pPr>
              <w:pStyle w:val="TableText"/>
              <w:rPr>
                <w:rFonts w:eastAsia="Arial" w:cs="Arial"/>
              </w:rPr>
            </w:pPr>
            <w:r>
              <w:t>Grant monies paid as a percentage of the total grant budget</w:t>
            </w:r>
          </w:p>
        </w:tc>
        <w:tc>
          <w:tcPr>
            <w:tcW w:w="1276" w:type="dxa"/>
            <w:tcBorders>
              <w:top w:val="single" w:sz="4" w:space="0" w:color="000000" w:themeColor="text1"/>
              <w:left w:val="single" w:sz="4" w:space="0" w:color="000000" w:themeColor="text1"/>
              <w:bottom w:val="nil"/>
              <w:right w:val="single" w:sz="4" w:space="0" w:color="000000" w:themeColor="text1"/>
            </w:tcBorders>
            <w:hideMark/>
          </w:tcPr>
          <w:p w:rsidR="00F50C10" w:rsidRPr="005E3178" w:rsidRDefault="00F50C10" w:rsidP="00694D7C">
            <w:pPr>
              <w:pStyle w:val="TableText"/>
              <w:jc w:val="right"/>
              <w:rPr>
                <w:rFonts w:eastAsia="Arial" w:cs="Arial"/>
              </w:rPr>
            </w:pPr>
            <w:r>
              <w:t>80%</w:t>
            </w:r>
          </w:p>
        </w:tc>
        <w:tc>
          <w:tcPr>
            <w:tcW w:w="1250" w:type="dxa"/>
            <w:tcBorders>
              <w:top w:val="single" w:sz="4" w:space="0" w:color="000000" w:themeColor="text1"/>
              <w:left w:val="single" w:sz="4" w:space="0" w:color="000000" w:themeColor="text1"/>
              <w:bottom w:val="nil"/>
              <w:right w:val="single" w:sz="4" w:space="0" w:color="000000" w:themeColor="text1"/>
            </w:tcBorders>
            <w:hideMark/>
          </w:tcPr>
          <w:p w:rsidR="00F50C10" w:rsidRPr="005E3178" w:rsidRDefault="00F50C10" w:rsidP="00694D7C">
            <w:pPr>
              <w:pStyle w:val="TableText"/>
              <w:jc w:val="right"/>
              <w:rPr>
                <w:rFonts w:eastAsia="Arial" w:cs="Arial"/>
              </w:rPr>
            </w:pPr>
            <w:r>
              <w:t>104</w:t>
            </w:r>
            <w:r w:rsidRPr="00843159">
              <w:t>%</w:t>
            </w:r>
          </w:p>
        </w:tc>
      </w:tr>
      <w:tr w:rsidR="00F50C10" w:rsidTr="00694D7C">
        <w:tc>
          <w:tcPr>
            <w:tcW w:w="7374" w:type="dxa"/>
            <w:tcBorders>
              <w:top w:val="nil"/>
              <w:left w:val="single" w:sz="4" w:space="0" w:color="000000" w:themeColor="text1"/>
              <w:bottom w:val="single" w:sz="4" w:space="0" w:color="000000" w:themeColor="text1"/>
              <w:right w:val="single" w:sz="4" w:space="0" w:color="000000" w:themeColor="text1"/>
            </w:tcBorders>
            <w:vAlign w:val="bottom"/>
          </w:tcPr>
          <w:p w:rsidR="00F50C10" w:rsidRPr="002223E2" w:rsidRDefault="002223E2" w:rsidP="002223E2">
            <w:pPr>
              <w:pStyle w:val="TableText"/>
              <w:rPr>
                <w:rFonts w:cs="MetaNormalLF-Italic"/>
                <w:color w:val="3F3F41"/>
                <w:sz w:val="14"/>
                <w:szCs w:val="14"/>
              </w:rPr>
            </w:pPr>
            <w:r w:rsidRPr="002223E2">
              <w:rPr>
                <w:rFonts w:ascii="Arial Narrow" w:eastAsia="Arial Narrow" w:hAnsi="Arial Narrow" w:cs="Arial Narrow"/>
                <w:i/>
                <w:iCs/>
                <w:sz w:val="16"/>
                <w:szCs w:val="16"/>
              </w:rPr>
              <w:t>This service standard has been discontinued in 2018–19 as it does not meet the definition of ‘efficiency’ as described in the Queensland Government Performance Management Framework and is considered a measure of input only.</w:t>
            </w:r>
            <w:r>
              <w:rPr>
                <w:rFonts w:cs="MetaNormalLF-Italic"/>
                <w:color w:val="3F3F41"/>
                <w:sz w:val="14"/>
                <w:szCs w:val="14"/>
              </w:rPr>
              <w:t xml:space="preserve"> </w:t>
            </w:r>
          </w:p>
        </w:tc>
        <w:tc>
          <w:tcPr>
            <w:tcW w:w="1276" w:type="dxa"/>
            <w:tcBorders>
              <w:top w:val="nil"/>
              <w:left w:val="single" w:sz="4" w:space="0" w:color="000000" w:themeColor="text1"/>
              <w:bottom w:val="single" w:sz="4" w:space="0" w:color="000000" w:themeColor="text1"/>
              <w:right w:val="single" w:sz="4" w:space="0" w:color="000000" w:themeColor="text1"/>
            </w:tcBorders>
          </w:tcPr>
          <w:p w:rsidR="00F50C10" w:rsidRDefault="00F50C10" w:rsidP="00694D7C">
            <w:pPr>
              <w:pStyle w:val="TableTextRight"/>
            </w:pPr>
          </w:p>
        </w:tc>
        <w:tc>
          <w:tcPr>
            <w:tcW w:w="1250" w:type="dxa"/>
            <w:tcBorders>
              <w:top w:val="nil"/>
              <w:left w:val="single" w:sz="4" w:space="0" w:color="000000" w:themeColor="text1"/>
              <w:bottom w:val="single" w:sz="4" w:space="0" w:color="000000" w:themeColor="text1"/>
              <w:right w:val="single" w:sz="4" w:space="0" w:color="000000" w:themeColor="text1"/>
            </w:tcBorders>
          </w:tcPr>
          <w:p w:rsidR="00F50C10" w:rsidRPr="00843159" w:rsidRDefault="00F50C10" w:rsidP="00694D7C">
            <w:pPr>
              <w:pStyle w:val="TableTextRight"/>
            </w:pPr>
          </w:p>
        </w:tc>
      </w:tr>
      <w:tr w:rsidR="00F50C10" w:rsidTr="00694D7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background1" w:themeFillShade="7F"/>
            <w:vAlign w:val="center"/>
            <w:hideMark/>
          </w:tcPr>
          <w:p w:rsidR="00F50C10" w:rsidRDefault="00F50C10" w:rsidP="00694D7C">
            <w:pPr>
              <w:pStyle w:val="TableTextHeading"/>
              <w:jc w:val="left"/>
              <w:rPr>
                <w:color w:val="FFFFFF" w:themeColor="background1"/>
              </w:rPr>
            </w:pPr>
            <w:r w:rsidRPr="11284B68">
              <w:rPr>
                <w:color w:val="FFFFFF" w:themeColor="background1"/>
              </w:rPr>
              <w:t>Service: Facilities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background1" w:themeFillShade="7F"/>
            <w:vAlign w:val="center"/>
          </w:tcPr>
          <w:p w:rsidR="00F50C10" w:rsidRDefault="00F50C10" w:rsidP="00694D7C">
            <w:pPr>
              <w:pStyle w:val="TableTextHeading"/>
              <w:jc w:val="right"/>
              <w:rPr>
                <w:color w:val="FFFFFF" w:themeColor="background1"/>
              </w:rPr>
            </w:pP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background1" w:themeFillShade="7F"/>
            <w:vAlign w:val="center"/>
          </w:tcPr>
          <w:p w:rsidR="00F50C10" w:rsidRPr="00843159" w:rsidRDefault="00F50C10" w:rsidP="00694D7C">
            <w:pPr>
              <w:pStyle w:val="TableTextHeading"/>
              <w:jc w:val="right"/>
              <w:rPr>
                <w:color w:val="FFFFFF" w:themeColor="background1"/>
              </w:rPr>
            </w:pPr>
          </w:p>
        </w:tc>
      </w:tr>
      <w:tr w:rsidR="00F50C10" w:rsidTr="00694D7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rsidR="00F50C10" w:rsidRDefault="00F50C10" w:rsidP="00694D7C">
            <w:pPr>
              <w:pStyle w:val="TableTextBold"/>
            </w:pPr>
            <w:r>
              <w:t>Effectiveness measures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F50C10" w:rsidRDefault="00F50C10" w:rsidP="00694D7C">
            <w:pPr>
              <w:pStyle w:val="TableTextRight"/>
            </w:pP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F50C10" w:rsidRPr="00843159" w:rsidRDefault="00F50C10" w:rsidP="00694D7C">
            <w:pPr>
              <w:pStyle w:val="TableTextRight"/>
            </w:pPr>
          </w:p>
        </w:tc>
      </w:tr>
      <w:tr w:rsidR="00F50C10" w:rsidTr="00694D7C">
        <w:tc>
          <w:tcPr>
            <w:tcW w:w="7374" w:type="dxa"/>
            <w:tcBorders>
              <w:top w:val="single" w:sz="4" w:space="0" w:color="000000" w:themeColor="text1"/>
              <w:left w:val="single" w:sz="4" w:space="0" w:color="000000" w:themeColor="text1"/>
              <w:bottom w:val="nil"/>
              <w:right w:val="single" w:sz="4" w:space="0" w:color="000000" w:themeColor="text1"/>
            </w:tcBorders>
            <w:hideMark/>
          </w:tcPr>
          <w:p w:rsidR="00F50C10" w:rsidRPr="005E3178" w:rsidRDefault="00F50C10" w:rsidP="00694D7C">
            <w:pPr>
              <w:pStyle w:val="TableText"/>
              <w:rPr>
                <w:rFonts w:eastAsia="Arial" w:cs="Arial"/>
              </w:rPr>
            </w:pPr>
            <w:r>
              <w:t>Use of Queensland Recreation Centres’ accommodation facilities</w:t>
            </w:r>
          </w:p>
        </w:tc>
        <w:tc>
          <w:tcPr>
            <w:tcW w:w="1276" w:type="dxa"/>
            <w:tcBorders>
              <w:top w:val="single" w:sz="4" w:space="0" w:color="000000" w:themeColor="text1"/>
              <w:left w:val="single" w:sz="4" w:space="0" w:color="000000" w:themeColor="text1"/>
              <w:bottom w:val="nil"/>
              <w:right w:val="single" w:sz="4" w:space="0" w:color="000000" w:themeColor="text1"/>
            </w:tcBorders>
            <w:hideMark/>
          </w:tcPr>
          <w:p w:rsidR="00F50C10" w:rsidRPr="005E3178" w:rsidRDefault="00F50C10" w:rsidP="00694D7C">
            <w:pPr>
              <w:pStyle w:val="TableText"/>
              <w:jc w:val="right"/>
              <w:rPr>
                <w:rFonts w:eastAsia="Arial" w:cs="Arial"/>
              </w:rPr>
            </w:pPr>
            <w:r>
              <w:t>42%</w:t>
            </w:r>
          </w:p>
        </w:tc>
        <w:tc>
          <w:tcPr>
            <w:tcW w:w="1250" w:type="dxa"/>
            <w:tcBorders>
              <w:top w:val="single" w:sz="4" w:space="0" w:color="000000" w:themeColor="text1"/>
              <w:left w:val="single" w:sz="4" w:space="0" w:color="000000" w:themeColor="text1"/>
              <w:bottom w:val="nil"/>
              <w:right w:val="single" w:sz="4" w:space="0" w:color="000000" w:themeColor="text1"/>
            </w:tcBorders>
            <w:hideMark/>
          </w:tcPr>
          <w:p w:rsidR="00F50C10" w:rsidRPr="005E3178" w:rsidRDefault="00F50C10" w:rsidP="00694D7C">
            <w:pPr>
              <w:pStyle w:val="TableText"/>
              <w:jc w:val="right"/>
              <w:rPr>
                <w:rFonts w:eastAsia="Arial" w:cs="Arial"/>
              </w:rPr>
            </w:pPr>
            <w:r w:rsidRPr="00843159">
              <w:t>43%</w:t>
            </w:r>
          </w:p>
        </w:tc>
      </w:tr>
      <w:tr w:rsidR="00F50C10" w:rsidTr="00694D7C">
        <w:tc>
          <w:tcPr>
            <w:tcW w:w="7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F50C10" w:rsidRDefault="00F50C10" w:rsidP="00694D7C">
            <w:pPr>
              <w:pStyle w:val="TableTextBold"/>
            </w:pPr>
            <w:r>
              <w:t>Efficiency measures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50C10" w:rsidRDefault="00F50C10" w:rsidP="00694D7C">
            <w:pPr>
              <w:pStyle w:val="TableTextRight"/>
            </w:pP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50C10" w:rsidRPr="00843159" w:rsidRDefault="00F50C10" w:rsidP="00694D7C">
            <w:pPr>
              <w:pStyle w:val="TableTextRight"/>
            </w:pPr>
          </w:p>
        </w:tc>
      </w:tr>
      <w:tr w:rsidR="00F50C10" w:rsidTr="00694D7C">
        <w:tc>
          <w:tcPr>
            <w:tcW w:w="7374" w:type="dxa"/>
            <w:tcBorders>
              <w:top w:val="single" w:sz="4" w:space="0" w:color="000000" w:themeColor="text1"/>
              <w:left w:val="single" w:sz="4" w:space="0" w:color="000000" w:themeColor="text1"/>
              <w:bottom w:val="nil"/>
              <w:right w:val="single" w:sz="4" w:space="0" w:color="000000" w:themeColor="text1"/>
            </w:tcBorders>
            <w:hideMark/>
          </w:tcPr>
          <w:p w:rsidR="00F50C10" w:rsidRPr="005E3178" w:rsidRDefault="00F50C10" w:rsidP="00694D7C">
            <w:pPr>
              <w:pStyle w:val="TableText"/>
              <w:rPr>
                <w:rFonts w:eastAsia="Arial" w:cs="Arial"/>
              </w:rPr>
            </w:pPr>
            <w:r>
              <w:t>Queensland Recreation Centres operational bed cost per night</w:t>
            </w:r>
          </w:p>
        </w:tc>
        <w:tc>
          <w:tcPr>
            <w:tcW w:w="1276" w:type="dxa"/>
            <w:tcBorders>
              <w:top w:val="single" w:sz="4" w:space="0" w:color="000000" w:themeColor="text1"/>
              <w:left w:val="single" w:sz="4" w:space="0" w:color="000000" w:themeColor="text1"/>
              <w:bottom w:val="nil"/>
              <w:right w:val="single" w:sz="4" w:space="0" w:color="000000" w:themeColor="text1"/>
            </w:tcBorders>
            <w:hideMark/>
          </w:tcPr>
          <w:p w:rsidR="00F50C10" w:rsidRPr="005E3178" w:rsidRDefault="00F50C10" w:rsidP="00694D7C">
            <w:pPr>
              <w:pStyle w:val="TableText"/>
              <w:jc w:val="right"/>
              <w:rPr>
                <w:rFonts w:eastAsia="Arial" w:cs="Arial"/>
              </w:rPr>
            </w:pPr>
            <w:r>
              <w:t>&lt;$45</w:t>
            </w:r>
          </w:p>
        </w:tc>
        <w:tc>
          <w:tcPr>
            <w:tcW w:w="1250" w:type="dxa"/>
            <w:tcBorders>
              <w:top w:val="single" w:sz="4" w:space="0" w:color="000000" w:themeColor="text1"/>
              <w:left w:val="single" w:sz="4" w:space="0" w:color="000000" w:themeColor="text1"/>
              <w:bottom w:val="nil"/>
              <w:right w:val="single" w:sz="4" w:space="0" w:color="000000" w:themeColor="text1"/>
            </w:tcBorders>
            <w:hideMark/>
          </w:tcPr>
          <w:p w:rsidR="00F50C10" w:rsidRPr="005E3178" w:rsidRDefault="00F50C10" w:rsidP="00694D7C">
            <w:pPr>
              <w:pStyle w:val="TableText"/>
              <w:jc w:val="right"/>
              <w:rPr>
                <w:rFonts w:eastAsia="Arial" w:cs="Arial"/>
              </w:rPr>
            </w:pPr>
            <w:r w:rsidRPr="00843159">
              <w:t>$4</w:t>
            </w:r>
            <w:r>
              <w:t>5</w:t>
            </w:r>
          </w:p>
        </w:tc>
      </w:tr>
      <w:tr w:rsidR="00F50C10" w:rsidTr="00694D7C">
        <w:tc>
          <w:tcPr>
            <w:tcW w:w="7374" w:type="dxa"/>
            <w:tcBorders>
              <w:top w:val="nil"/>
              <w:left w:val="single" w:sz="4" w:space="0" w:color="000000" w:themeColor="text1"/>
              <w:bottom w:val="single" w:sz="4" w:space="0" w:color="000000" w:themeColor="text1"/>
              <w:right w:val="single" w:sz="4" w:space="0" w:color="000000" w:themeColor="text1"/>
            </w:tcBorders>
            <w:vAlign w:val="bottom"/>
          </w:tcPr>
          <w:p w:rsidR="00F50C10" w:rsidRPr="002223E2" w:rsidRDefault="002223E2" w:rsidP="00694D7C">
            <w:pPr>
              <w:pStyle w:val="TableText"/>
              <w:rPr>
                <w:rFonts w:ascii="Arial Narrow" w:eastAsia="Arial Narrow" w:hAnsi="Arial Narrow" w:cs="Arial Narrow"/>
                <w:i/>
                <w:iCs/>
                <w:sz w:val="16"/>
                <w:szCs w:val="16"/>
              </w:rPr>
            </w:pPr>
            <w:r w:rsidRPr="002223E2">
              <w:rPr>
                <w:rFonts w:ascii="Arial Narrow" w:eastAsia="Arial Narrow" w:hAnsi="Arial Narrow" w:cs="Arial Narrow"/>
                <w:i/>
                <w:iCs/>
                <w:sz w:val="16"/>
                <w:szCs w:val="16"/>
              </w:rPr>
              <w:t xml:space="preserve">QRec operational bed cost per night actual figure is the result of extra venue costs associated with the Gold Coast Recreation Centre being a host venue during the Commonwealth Games. </w:t>
            </w:r>
          </w:p>
        </w:tc>
        <w:tc>
          <w:tcPr>
            <w:tcW w:w="1276" w:type="dxa"/>
            <w:tcBorders>
              <w:top w:val="nil"/>
              <w:left w:val="single" w:sz="4" w:space="0" w:color="000000" w:themeColor="text1"/>
              <w:bottom w:val="single" w:sz="4" w:space="0" w:color="000000" w:themeColor="text1"/>
              <w:right w:val="single" w:sz="4" w:space="0" w:color="000000" w:themeColor="text1"/>
            </w:tcBorders>
          </w:tcPr>
          <w:p w:rsidR="00F50C10" w:rsidRDefault="00F50C10" w:rsidP="00694D7C">
            <w:pPr>
              <w:pStyle w:val="TableTextRight"/>
            </w:pPr>
          </w:p>
        </w:tc>
        <w:tc>
          <w:tcPr>
            <w:tcW w:w="1250" w:type="dxa"/>
            <w:tcBorders>
              <w:top w:val="nil"/>
              <w:left w:val="single" w:sz="4" w:space="0" w:color="000000" w:themeColor="text1"/>
              <w:bottom w:val="single" w:sz="4" w:space="0" w:color="000000" w:themeColor="text1"/>
              <w:right w:val="single" w:sz="4" w:space="0" w:color="000000" w:themeColor="text1"/>
            </w:tcBorders>
          </w:tcPr>
          <w:p w:rsidR="00F50C10" w:rsidRPr="00843159" w:rsidRDefault="00F50C10" w:rsidP="00694D7C">
            <w:pPr>
              <w:pStyle w:val="TableTextRight"/>
            </w:pPr>
          </w:p>
        </w:tc>
      </w:tr>
    </w:tbl>
    <w:p w:rsidR="00F50C10" w:rsidRDefault="00F50C10" w:rsidP="00F50C10">
      <w:pPr>
        <w:spacing w:line="256" w:lineRule="auto"/>
      </w:pPr>
      <w:r>
        <w:t>Notes:</w:t>
      </w:r>
    </w:p>
    <w:p w:rsidR="00F50C10" w:rsidRPr="005E3178" w:rsidRDefault="00F50C10" w:rsidP="00D806AE">
      <w:pPr>
        <w:pStyle w:val="ListParagraph"/>
        <w:numPr>
          <w:ilvl w:val="0"/>
          <w:numId w:val="23"/>
        </w:numPr>
        <w:autoSpaceDE w:val="0"/>
        <w:autoSpaceDN w:val="0"/>
        <w:adjustRightInd w:val="0"/>
        <w:spacing w:after="0"/>
        <w:contextualSpacing/>
        <w:rPr>
          <w:rFonts w:eastAsia="Arial" w:cs="Arial"/>
          <w:sz w:val="16"/>
          <w:szCs w:val="16"/>
        </w:rPr>
      </w:pPr>
      <w:r>
        <w:rPr>
          <w:sz w:val="16"/>
          <w:szCs w:val="16"/>
        </w:rPr>
        <w:t>This service area was transferred from the (former) Department of National Parks, Sport and Racing following machinery-of-government</w:t>
      </w:r>
      <w:r w:rsidRPr="1FB55C6F">
        <w:rPr>
          <w:rFonts w:eastAsia="Arial" w:cs="Arial"/>
          <w:sz w:val="16"/>
          <w:szCs w:val="16"/>
        </w:rPr>
        <w:t xml:space="preserve"> </w:t>
      </w:r>
      <w:r>
        <w:rPr>
          <w:sz w:val="16"/>
          <w:szCs w:val="16"/>
        </w:rPr>
        <w:t>changes.</w:t>
      </w:r>
    </w:p>
    <w:p w:rsidR="00F50C10" w:rsidRPr="005E3178" w:rsidRDefault="00F50C10" w:rsidP="00D806AE">
      <w:pPr>
        <w:pStyle w:val="ListParagraph"/>
        <w:numPr>
          <w:ilvl w:val="0"/>
          <w:numId w:val="23"/>
        </w:numPr>
        <w:autoSpaceDE w:val="0"/>
        <w:autoSpaceDN w:val="0"/>
        <w:adjustRightInd w:val="0"/>
        <w:spacing w:after="0"/>
        <w:contextualSpacing/>
        <w:rPr>
          <w:rFonts w:eastAsia="Arial" w:cs="Arial"/>
          <w:sz w:val="16"/>
          <w:szCs w:val="16"/>
        </w:rPr>
      </w:pPr>
      <w:r>
        <w:rPr>
          <w:sz w:val="16"/>
          <w:szCs w:val="16"/>
        </w:rPr>
        <w:t>The service ‘Community Support’ has been consolidated with the former ‘Queensland Academy of Sport’ (QAS) service.</w:t>
      </w:r>
    </w:p>
    <w:p w:rsidR="00F50C10" w:rsidRDefault="00F50C10" w:rsidP="00D806AE">
      <w:pPr>
        <w:pStyle w:val="NoteIndent"/>
        <w:numPr>
          <w:ilvl w:val="0"/>
          <w:numId w:val="23"/>
        </w:numPr>
      </w:pPr>
      <w:r>
        <w:t xml:space="preserve">A new efficiency measure is being developed for this service and will be included in a future </w:t>
      </w:r>
      <w:r>
        <w:rPr>
          <w:rStyle w:val="Italics"/>
        </w:rPr>
        <w:t>Service Delivery Statement</w:t>
      </w:r>
      <w:r>
        <w:t>. An action plan has been developed to research and develop a new measure for inclusion in the 2019-20 SDS.</w:t>
      </w:r>
    </w:p>
    <w:p w:rsidR="00F50C10" w:rsidRDefault="00F50C10">
      <w:pPr>
        <w:spacing w:before="0" w:after="0"/>
        <w:rPr>
          <w:rFonts w:ascii="Arial" w:hAnsi="Arial" w:cs="Arial"/>
        </w:rPr>
      </w:pPr>
    </w:p>
    <w:p w:rsidR="00CD1230" w:rsidRDefault="00CD1230">
      <w:pPr>
        <w:spacing w:before="0" w:after="0"/>
        <w:rPr>
          <w:rFonts w:ascii="Arial" w:hAnsi="Arial" w:cs="Arial"/>
        </w:rPr>
      </w:pPr>
      <w:r>
        <w:rPr>
          <w:rFonts w:ascii="Arial" w:hAnsi="Arial" w:cs="Arial"/>
        </w:rPr>
        <w:br w:type="page"/>
      </w:r>
    </w:p>
    <w:p w:rsidR="0028598A" w:rsidRPr="00C96F1A" w:rsidRDefault="00B625AF" w:rsidP="00247724">
      <w:pPr>
        <w:pStyle w:val="Heading2"/>
      </w:pPr>
      <w:bookmarkStart w:id="34" w:name="_TOC_250020"/>
      <w:bookmarkStart w:id="35" w:name="_Toc528845964"/>
      <w:r w:rsidRPr="00C96F1A">
        <w:lastRenderedPageBreak/>
        <w:t xml:space="preserve">Digital Capability and </w:t>
      </w:r>
      <w:bookmarkEnd w:id="34"/>
      <w:r w:rsidRPr="00C96F1A">
        <w:t>Information</w:t>
      </w:r>
      <w:bookmarkEnd w:id="35"/>
    </w:p>
    <w:p w:rsidR="0028598A" w:rsidRPr="00C96F1A" w:rsidRDefault="00B625AF" w:rsidP="00694D7C">
      <w:pPr>
        <w:pStyle w:val="Heading3"/>
      </w:pPr>
      <w:r w:rsidRPr="00C96F1A">
        <w:t>Our objective</w:t>
      </w:r>
    </w:p>
    <w:p w:rsidR="0028598A" w:rsidRPr="00C96F1A" w:rsidRDefault="00B625AF" w:rsidP="00C96F1A">
      <w:pPr>
        <w:rPr>
          <w:rFonts w:ascii="Arial" w:hAnsi="Arial" w:cs="Arial"/>
        </w:rPr>
      </w:pPr>
      <w:r w:rsidRPr="00C96F1A">
        <w:rPr>
          <w:rFonts w:ascii="Arial" w:hAnsi="Arial" w:cs="Arial"/>
        </w:rPr>
        <w:t>To provide citizens and businesses with simple and easy access to integrated Queensland Government services and to ensure Queensland public records are preserved for the benefit of current and future generations.</w:t>
      </w:r>
    </w:p>
    <w:p w:rsidR="0028598A" w:rsidRPr="00C96F1A" w:rsidRDefault="00B625AF" w:rsidP="00694D7C">
      <w:pPr>
        <w:pStyle w:val="Heading3"/>
      </w:pPr>
      <w:r w:rsidRPr="00C96F1A">
        <w:t>What we do</w:t>
      </w:r>
    </w:p>
    <w:p w:rsidR="0028598A" w:rsidRPr="00C96F1A" w:rsidRDefault="00B625AF" w:rsidP="00C96F1A">
      <w:pPr>
        <w:rPr>
          <w:rFonts w:ascii="Arial" w:hAnsi="Arial" w:cs="Arial"/>
        </w:rPr>
      </w:pPr>
      <w:r w:rsidRPr="00C96F1A">
        <w:rPr>
          <w:rFonts w:ascii="Arial" w:hAnsi="Arial" w:cs="Arial"/>
        </w:rPr>
        <w:t>Digital Capability and Information develops and delivers innovative digitally enabled and integrated government services that are simpler and faster for the community to access online or through phone and counter channels. The service area leads a major program of work to accelerate the delivery of proactive and personalised services, designed around the customer.</w:t>
      </w:r>
    </w:p>
    <w:p w:rsidR="0028598A" w:rsidRPr="00C96F1A" w:rsidRDefault="00B625AF" w:rsidP="00C96F1A">
      <w:pPr>
        <w:rPr>
          <w:rFonts w:ascii="Arial" w:hAnsi="Arial" w:cs="Arial"/>
        </w:rPr>
      </w:pPr>
      <w:r w:rsidRPr="00C96F1A">
        <w:rPr>
          <w:rFonts w:ascii="Arial" w:hAnsi="Arial" w:cs="Arial"/>
        </w:rPr>
        <w:t>The service area drives digital economy development and digital capability programs.</w:t>
      </w:r>
    </w:p>
    <w:p w:rsidR="0028598A" w:rsidRPr="00C96F1A" w:rsidRDefault="00B625AF" w:rsidP="00C96F1A">
      <w:pPr>
        <w:rPr>
          <w:rFonts w:ascii="Arial" w:hAnsi="Arial" w:cs="Arial"/>
        </w:rPr>
      </w:pPr>
      <w:r w:rsidRPr="00C96F1A">
        <w:rPr>
          <w:rFonts w:ascii="Arial" w:hAnsi="Arial" w:cs="Arial"/>
        </w:rPr>
        <w:t>It leads Queensland public authorities in managing and preserving Queensland public records in a useable form and improves public access to the collection by embracing digital government practices.</w:t>
      </w:r>
    </w:p>
    <w:p w:rsidR="0028598A" w:rsidRPr="00C96F1A" w:rsidRDefault="00B625AF" w:rsidP="00C96F1A">
      <w:pPr>
        <w:rPr>
          <w:rFonts w:ascii="Arial" w:hAnsi="Arial" w:cs="Arial"/>
        </w:rPr>
      </w:pPr>
      <w:r w:rsidRPr="00C96F1A">
        <w:rPr>
          <w:rFonts w:ascii="Arial" w:hAnsi="Arial" w:cs="Arial"/>
        </w:rPr>
        <w:t xml:space="preserve">The service area is also responsible for implementing the </w:t>
      </w:r>
      <w:r w:rsidR="00694D7C">
        <w:rPr>
          <w:rFonts w:ascii="Arial" w:hAnsi="Arial" w:cs="Arial"/>
        </w:rPr>
        <w:t>g</w:t>
      </w:r>
      <w:r w:rsidRPr="00C96F1A">
        <w:rPr>
          <w:rFonts w:ascii="Arial" w:hAnsi="Arial" w:cs="Arial"/>
        </w:rPr>
        <w:t>overnment’s commitment to making government data open for anyone to access, use and share.</w:t>
      </w:r>
    </w:p>
    <w:p w:rsidR="00694D7C" w:rsidRPr="00694D7C" w:rsidRDefault="00694D7C" w:rsidP="00694D7C">
      <w:pPr>
        <w:pStyle w:val="Heading3"/>
      </w:pPr>
      <w:r w:rsidRPr="00694D7C">
        <w:t xml:space="preserve">Our services </w:t>
      </w:r>
    </w:p>
    <w:p w:rsidR="00694D7C" w:rsidRPr="00694D7C" w:rsidRDefault="00694D7C" w:rsidP="00D806AE">
      <w:pPr>
        <w:pStyle w:val="ListParagraph"/>
        <w:numPr>
          <w:ilvl w:val="0"/>
          <w:numId w:val="80"/>
        </w:numPr>
        <w:rPr>
          <w:rFonts w:ascii="Arial" w:hAnsi="Arial" w:cs="Arial"/>
        </w:rPr>
      </w:pPr>
      <w:r w:rsidRPr="00694D7C">
        <w:rPr>
          <w:rFonts w:ascii="Arial" w:hAnsi="Arial" w:cs="Arial"/>
        </w:rPr>
        <w:t xml:space="preserve">Whole-of-government Customer Experience </w:t>
      </w:r>
    </w:p>
    <w:p w:rsidR="00694D7C" w:rsidRPr="00694D7C" w:rsidRDefault="00694D7C" w:rsidP="00D806AE">
      <w:pPr>
        <w:pStyle w:val="ListParagraph"/>
        <w:numPr>
          <w:ilvl w:val="0"/>
          <w:numId w:val="80"/>
        </w:numPr>
        <w:rPr>
          <w:rFonts w:ascii="Arial" w:hAnsi="Arial" w:cs="Arial"/>
        </w:rPr>
      </w:pPr>
      <w:r w:rsidRPr="00694D7C">
        <w:rPr>
          <w:rFonts w:ascii="Arial" w:hAnsi="Arial" w:cs="Arial"/>
        </w:rPr>
        <w:t xml:space="preserve">Government Recordkeeping and Archives </w:t>
      </w:r>
    </w:p>
    <w:p w:rsidR="00694D7C" w:rsidRPr="00694D7C" w:rsidRDefault="00694D7C" w:rsidP="00D806AE">
      <w:pPr>
        <w:pStyle w:val="ListParagraph"/>
        <w:numPr>
          <w:ilvl w:val="0"/>
          <w:numId w:val="80"/>
        </w:numPr>
        <w:rPr>
          <w:rFonts w:ascii="Arial" w:hAnsi="Arial" w:cs="Arial"/>
        </w:rPr>
      </w:pPr>
      <w:r w:rsidRPr="00694D7C">
        <w:rPr>
          <w:rFonts w:ascii="Arial" w:hAnsi="Arial" w:cs="Arial"/>
        </w:rPr>
        <w:t xml:space="preserve">Digital Economy </w:t>
      </w:r>
    </w:p>
    <w:p w:rsidR="00694D7C" w:rsidRPr="00694D7C" w:rsidRDefault="00694D7C" w:rsidP="00D806AE">
      <w:pPr>
        <w:pStyle w:val="ListParagraph"/>
        <w:numPr>
          <w:ilvl w:val="0"/>
          <w:numId w:val="80"/>
        </w:numPr>
        <w:rPr>
          <w:rFonts w:ascii="Arial" w:hAnsi="Arial" w:cs="Arial"/>
        </w:rPr>
      </w:pPr>
      <w:r w:rsidRPr="00694D7C">
        <w:rPr>
          <w:rFonts w:ascii="Arial" w:hAnsi="Arial" w:cs="Arial"/>
        </w:rPr>
        <w:t xml:space="preserve">Open Data </w:t>
      </w:r>
    </w:p>
    <w:p w:rsidR="00694D7C" w:rsidRDefault="00694D7C" w:rsidP="00C96F1A">
      <w:pPr>
        <w:rPr>
          <w:rFonts w:ascii="Arial" w:hAnsi="Arial" w:cs="Arial"/>
        </w:rPr>
      </w:pPr>
    </w:p>
    <w:p w:rsidR="00B8528F" w:rsidRDefault="00B8528F" w:rsidP="00B8528F">
      <w:pPr>
        <w:pStyle w:val="Heading3"/>
      </w:pPr>
      <w:r>
        <w:t>Key statistics</w:t>
      </w:r>
    </w:p>
    <w:p w:rsidR="00B8528F" w:rsidRPr="00C96F1A" w:rsidRDefault="00B8528F" w:rsidP="00B8528F">
      <w:pPr>
        <w:rPr>
          <w:rFonts w:ascii="Arial" w:hAnsi="Arial" w:cs="Arial"/>
        </w:rPr>
      </w:pPr>
      <w:r>
        <w:rPr>
          <w:rFonts w:ascii="Arial" w:hAnsi="Arial" w:cs="Arial"/>
        </w:rPr>
        <w:t xml:space="preserve">There were </w:t>
      </w:r>
      <w:r w:rsidRPr="00C96F1A">
        <w:rPr>
          <w:rFonts w:ascii="Arial" w:hAnsi="Arial" w:cs="Arial"/>
        </w:rPr>
        <w:t>1.7 million</w:t>
      </w:r>
      <w:r>
        <w:rPr>
          <w:rFonts w:ascii="Arial" w:hAnsi="Arial" w:cs="Arial"/>
        </w:rPr>
        <w:t xml:space="preserve"> </w:t>
      </w:r>
      <w:r w:rsidRPr="00C96F1A">
        <w:rPr>
          <w:rFonts w:ascii="Arial" w:hAnsi="Arial" w:cs="Arial"/>
        </w:rPr>
        <w:t>enquiries via 13 QGOV</w:t>
      </w:r>
      <w:r>
        <w:rPr>
          <w:rFonts w:ascii="Arial" w:hAnsi="Arial" w:cs="Arial"/>
        </w:rPr>
        <w:t xml:space="preserve"> </w:t>
      </w:r>
      <w:r w:rsidRPr="00C96F1A">
        <w:rPr>
          <w:rFonts w:ascii="Arial" w:hAnsi="Arial" w:cs="Arial"/>
        </w:rPr>
        <w:t>between 13 December 2017</w:t>
      </w:r>
      <w:r>
        <w:rPr>
          <w:rFonts w:ascii="Arial" w:hAnsi="Arial" w:cs="Arial"/>
        </w:rPr>
        <w:t xml:space="preserve"> and</w:t>
      </w:r>
      <w:r w:rsidRPr="00C96F1A">
        <w:rPr>
          <w:rFonts w:ascii="Arial" w:hAnsi="Arial" w:cs="Arial"/>
        </w:rPr>
        <w:t xml:space="preserve"> 30 June 2018</w:t>
      </w:r>
      <w:r>
        <w:rPr>
          <w:rFonts w:ascii="Arial" w:hAnsi="Arial" w:cs="Arial"/>
        </w:rPr>
        <w:t xml:space="preserve"> for a total of </w:t>
      </w:r>
      <w:r w:rsidRPr="00C96F1A">
        <w:rPr>
          <w:rFonts w:ascii="Arial" w:hAnsi="Arial" w:cs="Arial"/>
        </w:rPr>
        <w:t>3.7 million</w:t>
      </w:r>
      <w:r>
        <w:rPr>
          <w:rFonts w:ascii="Arial" w:hAnsi="Arial" w:cs="Arial"/>
        </w:rPr>
        <w:t xml:space="preserve"> </w:t>
      </w:r>
      <w:r w:rsidRPr="00C96F1A">
        <w:rPr>
          <w:rFonts w:ascii="Arial" w:hAnsi="Arial" w:cs="Arial"/>
        </w:rPr>
        <w:t>enquiries</w:t>
      </w:r>
      <w:r>
        <w:rPr>
          <w:rFonts w:ascii="Arial" w:hAnsi="Arial" w:cs="Arial"/>
        </w:rPr>
        <w:t xml:space="preserve"> in</w:t>
      </w:r>
      <w:r w:rsidRPr="00C96F1A">
        <w:rPr>
          <w:rFonts w:ascii="Arial" w:hAnsi="Arial" w:cs="Arial"/>
        </w:rPr>
        <w:t xml:space="preserve"> 2017–18</w:t>
      </w:r>
      <w:r>
        <w:rPr>
          <w:rFonts w:ascii="Arial" w:hAnsi="Arial" w:cs="Arial"/>
        </w:rPr>
        <w:t xml:space="preserve">. There were also </w:t>
      </w:r>
      <w:r w:rsidRPr="00C96F1A">
        <w:rPr>
          <w:rFonts w:ascii="Arial" w:hAnsi="Arial" w:cs="Arial"/>
        </w:rPr>
        <w:t>42.6 million</w:t>
      </w:r>
      <w:r>
        <w:rPr>
          <w:rFonts w:ascii="Arial" w:hAnsi="Arial" w:cs="Arial"/>
        </w:rPr>
        <w:t xml:space="preserve"> </w:t>
      </w:r>
      <w:r w:rsidRPr="00C96F1A">
        <w:rPr>
          <w:rFonts w:ascii="Arial" w:hAnsi="Arial" w:cs="Arial"/>
        </w:rPr>
        <w:t>visits to qld.gov.au from 13 December 2017 to</w:t>
      </w:r>
      <w:r>
        <w:rPr>
          <w:rFonts w:ascii="Arial" w:hAnsi="Arial" w:cs="Arial"/>
        </w:rPr>
        <w:t xml:space="preserve"> </w:t>
      </w:r>
      <w:r w:rsidRPr="00C96F1A">
        <w:rPr>
          <w:rFonts w:ascii="Arial" w:hAnsi="Arial" w:cs="Arial"/>
        </w:rPr>
        <w:t>30 June 2018</w:t>
      </w:r>
      <w:r>
        <w:rPr>
          <w:rFonts w:ascii="Arial" w:hAnsi="Arial" w:cs="Arial"/>
        </w:rPr>
        <w:t xml:space="preserve"> </w:t>
      </w:r>
      <w:r w:rsidR="006F27B4">
        <w:rPr>
          <w:rFonts w:ascii="Arial" w:hAnsi="Arial" w:cs="Arial"/>
        </w:rPr>
        <w:t>for a total of</w:t>
      </w:r>
      <w:r>
        <w:rPr>
          <w:rFonts w:ascii="Arial" w:hAnsi="Arial" w:cs="Arial"/>
        </w:rPr>
        <w:t xml:space="preserve"> </w:t>
      </w:r>
      <w:r w:rsidRPr="00C96F1A">
        <w:rPr>
          <w:rFonts w:ascii="Arial" w:hAnsi="Arial" w:cs="Arial"/>
        </w:rPr>
        <w:t>75.5 million</w:t>
      </w:r>
      <w:r>
        <w:rPr>
          <w:rFonts w:ascii="Arial" w:hAnsi="Arial" w:cs="Arial"/>
        </w:rPr>
        <w:t xml:space="preserve"> </w:t>
      </w:r>
      <w:r w:rsidRPr="00C96F1A">
        <w:rPr>
          <w:rFonts w:ascii="Arial" w:hAnsi="Arial" w:cs="Arial"/>
        </w:rPr>
        <w:t>visits in 2017–18, an increase of 18.5% from the previous year</w:t>
      </w:r>
      <w:r>
        <w:rPr>
          <w:rFonts w:ascii="Arial" w:hAnsi="Arial" w:cs="Arial"/>
        </w:rPr>
        <w:t>.</w:t>
      </w:r>
    </w:p>
    <w:p w:rsidR="00B8528F" w:rsidRDefault="00B8528F" w:rsidP="00C96F1A">
      <w:pPr>
        <w:rPr>
          <w:rFonts w:ascii="Arial" w:hAnsi="Arial" w:cs="Arial"/>
        </w:rPr>
      </w:pPr>
    </w:p>
    <w:p w:rsidR="000E69F0" w:rsidRPr="00C96F1A" w:rsidRDefault="00224406" w:rsidP="00224406">
      <w:pPr>
        <w:pStyle w:val="Heading6"/>
      </w:pPr>
      <w:r w:rsidRPr="00C96F1A">
        <w:t>Open Data Action Plan 2017—19</w:t>
      </w:r>
    </w:p>
    <w:p w:rsidR="000E69F0" w:rsidRPr="00C96F1A" w:rsidRDefault="000E69F0" w:rsidP="000E69F0">
      <w:pPr>
        <w:rPr>
          <w:rFonts w:ascii="Arial" w:hAnsi="Arial" w:cs="Arial"/>
        </w:rPr>
      </w:pPr>
      <w:r w:rsidRPr="00C96F1A">
        <w:rPr>
          <w:rFonts w:ascii="Arial" w:hAnsi="Arial" w:cs="Arial"/>
        </w:rPr>
        <w:t>The Open Data Action Plan 2017—19 aims to make data open for all to access, use and share</w:t>
      </w:r>
      <w:r w:rsidR="00224406">
        <w:rPr>
          <w:rFonts w:ascii="Arial" w:hAnsi="Arial" w:cs="Arial"/>
        </w:rPr>
        <w:t>.</w:t>
      </w:r>
    </w:p>
    <w:p w:rsidR="000E69F0" w:rsidRPr="00224406" w:rsidRDefault="000E69F0" w:rsidP="00D806AE">
      <w:pPr>
        <w:pStyle w:val="ListParagraph"/>
        <w:numPr>
          <w:ilvl w:val="0"/>
          <w:numId w:val="86"/>
        </w:numPr>
        <w:rPr>
          <w:rFonts w:ascii="Arial" w:hAnsi="Arial" w:cs="Arial"/>
        </w:rPr>
      </w:pPr>
      <w:r w:rsidRPr="00224406">
        <w:rPr>
          <w:rFonts w:ascii="Arial" w:hAnsi="Arial" w:cs="Arial"/>
        </w:rPr>
        <w:t>77% or 17 of 22 actions in the Plan are in progress or completed</w:t>
      </w:r>
    </w:p>
    <w:p w:rsidR="000E69F0" w:rsidRPr="00224406" w:rsidRDefault="000E69F0" w:rsidP="00D806AE">
      <w:pPr>
        <w:pStyle w:val="ListParagraph"/>
        <w:numPr>
          <w:ilvl w:val="0"/>
          <w:numId w:val="86"/>
        </w:numPr>
        <w:rPr>
          <w:rFonts w:ascii="Arial" w:hAnsi="Arial" w:cs="Arial"/>
        </w:rPr>
      </w:pPr>
      <w:r w:rsidRPr="00224406">
        <w:rPr>
          <w:rFonts w:ascii="Arial" w:hAnsi="Arial" w:cs="Arial"/>
        </w:rPr>
        <w:t>22 new Community Digital Champions recognised since December 2017, bringing the total number of current champions to 75</w:t>
      </w:r>
    </w:p>
    <w:p w:rsidR="000E69F0" w:rsidRPr="00224406" w:rsidRDefault="000E69F0" w:rsidP="00D806AE">
      <w:pPr>
        <w:pStyle w:val="ListParagraph"/>
        <w:numPr>
          <w:ilvl w:val="0"/>
          <w:numId w:val="86"/>
        </w:numPr>
        <w:rPr>
          <w:rFonts w:ascii="Arial" w:hAnsi="Arial" w:cs="Arial"/>
        </w:rPr>
      </w:pPr>
      <w:r w:rsidRPr="00224406">
        <w:rPr>
          <w:rFonts w:ascii="Arial" w:hAnsi="Arial" w:cs="Arial"/>
        </w:rPr>
        <w:t>Community Digital Champions have delivered over 1,150 digital literacy activities</w:t>
      </w:r>
    </w:p>
    <w:p w:rsidR="000E69F0" w:rsidRPr="00224406" w:rsidRDefault="000E69F0" w:rsidP="00D806AE">
      <w:pPr>
        <w:pStyle w:val="ListParagraph"/>
        <w:numPr>
          <w:ilvl w:val="0"/>
          <w:numId w:val="86"/>
        </w:numPr>
        <w:rPr>
          <w:rFonts w:ascii="Arial" w:hAnsi="Arial" w:cs="Arial"/>
        </w:rPr>
      </w:pPr>
      <w:r w:rsidRPr="00224406">
        <w:rPr>
          <w:rFonts w:ascii="Arial" w:hAnsi="Arial" w:cs="Arial"/>
        </w:rPr>
        <w:t>delivered 46 Digital Business Workshops to 717 people during 2017–18</w:t>
      </w:r>
    </w:p>
    <w:p w:rsidR="00B8528F" w:rsidRDefault="00B8528F" w:rsidP="00C96F1A">
      <w:pPr>
        <w:rPr>
          <w:rFonts w:ascii="Arial" w:hAnsi="Arial" w:cs="Arial"/>
        </w:rPr>
      </w:pPr>
    </w:p>
    <w:p w:rsidR="000E69F0" w:rsidRDefault="000E69F0" w:rsidP="00C96F1A">
      <w:pPr>
        <w:rPr>
          <w:rFonts w:ascii="Arial" w:hAnsi="Arial" w:cs="Arial"/>
        </w:rPr>
        <w:sectPr w:rsidR="000E69F0" w:rsidSect="008E71AD">
          <w:pgSz w:w="11910" w:h="16840"/>
          <w:pgMar w:top="1440" w:right="1080" w:bottom="1440" w:left="1080" w:header="720" w:footer="720" w:gutter="0"/>
          <w:cols w:space="720"/>
        </w:sectPr>
      </w:pPr>
    </w:p>
    <w:p w:rsidR="0028598A" w:rsidRPr="00C96F1A" w:rsidRDefault="00B625AF" w:rsidP="00694D7C">
      <w:pPr>
        <w:pStyle w:val="Heading3"/>
      </w:pPr>
      <w:r w:rsidRPr="00C96F1A">
        <w:lastRenderedPageBreak/>
        <w:t>Our achievements</w:t>
      </w:r>
    </w:p>
    <w:p w:rsidR="0028598A" w:rsidRPr="00C96F1A" w:rsidRDefault="00B625AF" w:rsidP="00694D7C">
      <w:pPr>
        <w:pStyle w:val="Heading6"/>
      </w:pPr>
      <w:r w:rsidRPr="00C96F1A">
        <w:t>Making it easier for citizens and business to engage with government</w:t>
      </w:r>
    </w:p>
    <w:p w:rsidR="0028598A" w:rsidRPr="00C96F1A" w:rsidRDefault="00B625AF" w:rsidP="00C96F1A">
      <w:pPr>
        <w:rPr>
          <w:rFonts w:ascii="Arial" w:hAnsi="Arial" w:cs="Arial"/>
        </w:rPr>
      </w:pPr>
      <w:r w:rsidRPr="00C96F1A">
        <w:rPr>
          <w:rFonts w:ascii="Arial" w:hAnsi="Arial" w:cs="Arial"/>
        </w:rPr>
        <w:t>Our commitment to putting Queenslanders at the centre</w:t>
      </w:r>
      <w:r w:rsidR="00694D7C">
        <w:rPr>
          <w:rFonts w:ascii="Arial" w:hAnsi="Arial" w:cs="Arial"/>
        </w:rPr>
        <w:t xml:space="preserve"> </w:t>
      </w:r>
      <w:r w:rsidRPr="00C96F1A">
        <w:rPr>
          <w:rFonts w:ascii="Arial" w:hAnsi="Arial" w:cs="Arial"/>
        </w:rPr>
        <w:t>of everything we do continued to drive the design of citizen-centric services that make it easier and quicker to engage with government.</w:t>
      </w:r>
    </w:p>
    <w:p w:rsidR="0028598A" w:rsidRPr="00C96F1A" w:rsidRDefault="00B625AF" w:rsidP="00C96F1A">
      <w:pPr>
        <w:rPr>
          <w:rFonts w:ascii="Arial" w:hAnsi="Arial" w:cs="Arial"/>
        </w:rPr>
      </w:pPr>
      <w:r w:rsidRPr="00C96F1A">
        <w:rPr>
          <w:rFonts w:ascii="Arial" w:hAnsi="Arial" w:cs="Arial"/>
        </w:rPr>
        <w:t>This approach is about listening and understanding the needs of citizens and businesses and applying what we learn to improve our services.</w:t>
      </w:r>
    </w:p>
    <w:p w:rsidR="0028598A" w:rsidRPr="00C96F1A" w:rsidRDefault="00B625AF" w:rsidP="00C96F1A">
      <w:pPr>
        <w:rPr>
          <w:rFonts w:ascii="Arial" w:hAnsi="Arial" w:cs="Arial"/>
        </w:rPr>
      </w:pPr>
      <w:r w:rsidRPr="00C96F1A">
        <w:rPr>
          <w:rFonts w:ascii="Arial" w:hAnsi="Arial" w:cs="Arial"/>
        </w:rPr>
        <w:t>In 2017–18, we:</w:t>
      </w:r>
    </w:p>
    <w:p w:rsidR="0028598A" w:rsidRPr="00694D7C" w:rsidRDefault="00B625AF" w:rsidP="00D806AE">
      <w:pPr>
        <w:pStyle w:val="ListParagraph"/>
        <w:numPr>
          <w:ilvl w:val="0"/>
          <w:numId w:val="81"/>
        </w:numPr>
        <w:rPr>
          <w:rFonts w:ascii="Arial" w:hAnsi="Arial" w:cs="Arial"/>
        </w:rPr>
      </w:pPr>
      <w:r w:rsidRPr="00694D7C">
        <w:rPr>
          <w:rFonts w:ascii="Arial" w:hAnsi="Arial" w:cs="Arial"/>
        </w:rPr>
        <w:t>engaged over 4,200 Queenslanders in service co-design, customer testing and research</w:t>
      </w:r>
    </w:p>
    <w:p w:rsidR="0028598A" w:rsidRPr="00694D7C" w:rsidRDefault="00B625AF" w:rsidP="00D806AE">
      <w:pPr>
        <w:pStyle w:val="ListParagraph"/>
        <w:numPr>
          <w:ilvl w:val="0"/>
          <w:numId w:val="81"/>
        </w:numPr>
        <w:rPr>
          <w:rFonts w:ascii="Arial" w:hAnsi="Arial" w:cs="Arial"/>
        </w:rPr>
      </w:pPr>
      <w:r w:rsidRPr="00694D7C">
        <w:rPr>
          <w:rFonts w:ascii="Arial" w:hAnsi="Arial" w:cs="Arial"/>
        </w:rPr>
        <w:t>won a Good Design Award and Best in Class Award at the Australian Good Design Awards for our human-centred design capability</w:t>
      </w:r>
    </w:p>
    <w:p w:rsidR="0028598A" w:rsidRPr="00694D7C" w:rsidRDefault="00B625AF" w:rsidP="00D806AE">
      <w:pPr>
        <w:pStyle w:val="ListParagraph"/>
        <w:numPr>
          <w:ilvl w:val="0"/>
          <w:numId w:val="81"/>
        </w:numPr>
        <w:rPr>
          <w:rFonts w:ascii="Arial" w:hAnsi="Arial" w:cs="Arial"/>
        </w:rPr>
      </w:pPr>
      <w:r w:rsidRPr="00694D7C">
        <w:rPr>
          <w:rFonts w:ascii="Arial" w:hAnsi="Arial" w:cs="Arial"/>
        </w:rPr>
        <w:t>continued to simplify the service experience for Queensland through online tools and capabilities</w:t>
      </w:r>
    </w:p>
    <w:p w:rsidR="0028598A" w:rsidRPr="001F3458" w:rsidRDefault="00B625AF" w:rsidP="006F2791">
      <w:pPr>
        <w:pStyle w:val="ListParagraph"/>
        <w:numPr>
          <w:ilvl w:val="0"/>
          <w:numId w:val="81"/>
        </w:numPr>
        <w:rPr>
          <w:rFonts w:ascii="Arial" w:hAnsi="Arial" w:cs="Arial"/>
        </w:rPr>
      </w:pPr>
      <w:r w:rsidRPr="001F3458">
        <w:rPr>
          <w:rFonts w:ascii="Arial" w:hAnsi="Arial" w:cs="Arial"/>
        </w:rPr>
        <w:t>provided Queenslanders with a single login for our digital</w:t>
      </w:r>
      <w:r w:rsidR="001F3458" w:rsidRPr="001F3458">
        <w:rPr>
          <w:rFonts w:ascii="Arial" w:hAnsi="Arial" w:cs="Arial"/>
        </w:rPr>
        <w:t xml:space="preserve"> </w:t>
      </w:r>
      <w:r w:rsidRPr="001F3458">
        <w:rPr>
          <w:rFonts w:ascii="Arial" w:hAnsi="Arial" w:cs="Arial"/>
        </w:rPr>
        <w:t>identity and verification management system.</w:t>
      </w:r>
    </w:p>
    <w:p w:rsidR="0028598A" w:rsidRPr="00C96F1A" w:rsidRDefault="00B625AF" w:rsidP="00B8528F">
      <w:pPr>
        <w:pStyle w:val="Heading6"/>
      </w:pPr>
      <w:r w:rsidRPr="00C96F1A">
        <w:t>Strengthening digital inclusion and infrastructure service</w:t>
      </w:r>
    </w:p>
    <w:p w:rsidR="0028598A" w:rsidRPr="00C96F1A" w:rsidRDefault="00B625AF" w:rsidP="00C96F1A">
      <w:pPr>
        <w:rPr>
          <w:rFonts w:ascii="Arial" w:hAnsi="Arial" w:cs="Arial"/>
        </w:rPr>
      </w:pPr>
      <w:r w:rsidRPr="00C96F1A">
        <w:rPr>
          <w:rFonts w:ascii="Arial" w:hAnsi="Arial" w:cs="Arial"/>
        </w:rPr>
        <w:t>Providing citizens and business with the skills and knowledge to flourish in the digital age was a focus for the department throughout the year.</w:t>
      </w:r>
    </w:p>
    <w:p w:rsidR="0028598A" w:rsidRPr="00C96F1A" w:rsidRDefault="00B625AF" w:rsidP="00C96F1A">
      <w:pPr>
        <w:rPr>
          <w:rFonts w:ascii="Arial" w:hAnsi="Arial" w:cs="Arial"/>
        </w:rPr>
      </w:pPr>
      <w:r w:rsidRPr="00C96F1A">
        <w:rPr>
          <w:rFonts w:ascii="Arial" w:hAnsi="Arial" w:cs="Arial"/>
        </w:rPr>
        <w:t>In 2017–18, we:</w:t>
      </w:r>
    </w:p>
    <w:p w:rsidR="0028598A" w:rsidRPr="000E69F0" w:rsidRDefault="00B625AF" w:rsidP="00D806AE">
      <w:pPr>
        <w:pStyle w:val="ListParagraph"/>
        <w:numPr>
          <w:ilvl w:val="0"/>
          <w:numId w:val="82"/>
        </w:numPr>
        <w:rPr>
          <w:rFonts w:ascii="Arial" w:hAnsi="Arial" w:cs="Arial"/>
        </w:rPr>
      </w:pPr>
      <w:r w:rsidRPr="000E69F0">
        <w:rPr>
          <w:rFonts w:ascii="Arial" w:hAnsi="Arial" w:cs="Arial"/>
        </w:rPr>
        <w:t>continued to deliver the Community Digital Champions Program, which saw stories and knowledge shared via events and activities aimed at encouraging Queenslanders to explore and enjoy the benefits of the digital   age</w:t>
      </w:r>
    </w:p>
    <w:p w:rsidR="0028598A" w:rsidRPr="000E69F0" w:rsidRDefault="00B625AF" w:rsidP="00D806AE">
      <w:pPr>
        <w:pStyle w:val="ListParagraph"/>
        <w:numPr>
          <w:ilvl w:val="0"/>
          <w:numId w:val="82"/>
        </w:numPr>
        <w:rPr>
          <w:rFonts w:ascii="Arial" w:hAnsi="Arial" w:cs="Arial"/>
        </w:rPr>
      </w:pPr>
      <w:r w:rsidRPr="000E69F0">
        <w:rPr>
          <w:rFonts w:ascii="Arial" w:hAnsi="Arial" w:cs="Arial"/>
        </w:rPr>
        <w:t>activated the Queensland Digital Inclusion Network which brings together government, community groups, research and education providers, corporations and organisations with an interest in building digital literacy and digital inclusion in Queensland, to collaborate, share resources and information</w:t>
      </w:r>
    </w:p>
    <w:p w:rsidR="0028598A" w:rsidRPr="000E69F0" w:rsidRDefault="00B625AF" w:rsidP="00D806AE">
      <w:pPr>
        <w:pStyle w:val="ListParagraph"/>
        <w:numPr>
          <w:ilvl w:val="0"/>
          <w:numId w:val="82"/>
        </w:numPr>
        <w:rPr>
          <w:rFonts w:ascii="Arial" w:hAnsi="Arial" w:cs="Arial"/>
        </w:rPr>
      </w:pPr>
      <w:r w:rsidRPr="000E69F0">
        <w:rPr>
          <w:rFonts w:ascii="Arial" w:hAnsi="Arial" w:cs="Arial"/>
        </w:rPr>
        <w:t>built the capacity of community organisations to deliver digital literacy activities in their communities by:</w:t>
      </w:r>
    </w:p>
    <w:p w:rsidR="0028598A" w:rsidRPr="000E69F0" w:rsidRDefault="00B625AF" w:rsidP="00D806AE">
      <w:pPr>
        <w:pStyle w:val="ListParagraph"/>
        <w:numPr>
          <w:ilvl w:val="0"/>
          <w:numId w:val="83"/>
        </w:numPr>
        <w:rPr>
          <w:rFonts w:ascii="Arial" w:hAnsi="Arial" w:cs="Arial"/>
        </w:rPr>
      </w:pPr>
      <w:r w:rsidRPr="000E69F0">
        <w:rPr>
          <w:rFonts w:ascii="Arial" w:hAnsi="Arial" w:cs="Arial"/>
        </w:rPr>
        <w:t>recruiting and supplying trained volunteer digital mentors</w:t>
      </w:r>
    </w:p>
    <w:p w:rsidR="0028598A" w:rsidRPr="000E69F0" w:rsidRDefault="00B625AF" w:rsidP="00D806AE">
      <w:pPr>
        <w:pStyle w:val="ListParagraph"/>
        <w:numPr>
          <w:ilvl w:val="0"/>
          <w:numId w:val="84"/>
        </w:numPr>
        <w:rPr>
          <w:rFonts w:ascii="Arial" w:hAnsi="Arial" w:cs="Arial"/>
        </w:rPr>
      </w:pPr>
      <w:r w:rsidRPr="000E69F0">
        <w:rPr>
          <w:rFonts w:ascii="Arial" w:hAnsi="Arial" w:cs="Arial"/>
        </w:rPr>
        <w:t>supporting key infrastructure projects, including the Sunshine Coast Submarine Cable and Telecommunications for the Regions commitment</w:t>
      </w:r>
    </w:p>
    <w:p w:rsidR="0028598A" w:rsidRPr="000E69F0" w:rsidRDefault="00B625AF" w:rsidP="00D806AE">
      <w:pPr>
        <w:pStyle w:val="ListParagraph"/>
        <w:numPr>
          <w:ilvl w:val="0"/>
          <w:numId w:val="84"/>
        </w:numPr>
        <w:rPr>
          <w:rFonts w:ascii="Arial" w:hAnsi="Arial" w:cs="Arial"/>
        </w:rPr>
      </w:pPr>
      <w:r w:rsidRPr="000E69F0">
        <w:rPr>
          <w:rFonts w:ascii="Arial" w:hAnsi="Arial" w:cs="Arial"/>
        </w:rPr>
        <w:t>used Digital Scorecards to build the digital skills of Queensland businesses to help them identify ways to improve their capability and become more competitive in the global digital economy</w:t>
      </w:r>
    </w:p>
    <w:p w:rsidR="0028598A" w:rsidRPr="000E69F0" w:rsidRDefault="00B625AF" w:rsidP="00D806AE">
      <w:pPr>
        <w:pStyle w:val="ListParagraph"/>
        <w:numPr>
          <w:ilvl w:val="0"/>
          <w:numId w:val="84"/>
        </w:numPr>
        <w:rPr>
          <w:rFonts w:ascii="Arial" w:hAnsi="Arial" w:cs="Arial"/>
        </w:rPr>
      </w:pPr>
      <w:r w:rsidRPr="000E69F0">
        <w:rPr>
          <w:rFonts w:ascii="Arial" w:hAnsi="Arial" w:cs="Arial"/>
        </w:rPr>
        <w:t>supported the completion of 1,700 Digital Scorecard assessments by small and medium businesses and not-for- profit organisations.</w:t>
      </w:r>
    </w:p>
    <w:p w:rsidR="0028598A" w:rsidRPr="00C96F1A" w:rsidRDefault="00B625AF" w:rsidP="000E69F0">
      <w:pPr>
        <w:pStyle w:val="Heading6"/>
      </w:pPr>
      <w:r w:rsidRPr="00C96F1A">
        <w:t>Supporting access to government information, for current and future generations</w:t>
      </w:r>
    </w:p>
    <w:p w:rsidR="0028598A" w:rsidRPr="00C96F1A" w:rsidRDefault="00B625AF" w:rsidP="00C96F1A">
      <w:pPr>
        <w:rPr>
          <w:rFonts w:ascii="Arial" w:hAnsi="Arial" w:cs="Arial"/>
        </w:rPr>
      </w:pPr>
      <w:r w:rsidRPr="00C96F1A">
        <w:rPr>
          <w:rFonts w:ascii="Arial" w:hAnsi="Arial" w:cs="Arial"/>
        </w:rPr>
        <w:t>The department continued to increase access to government information through a range of media during the year.</w:t>
      </w:r>
    </w:p>
    <w:p w:rsidR="0028598A" w:rsidRPr="00C96F1A" w:rsidRDefault="00B625AF" w:rsidP="00C96F1A">
      <w:pPr>
        <w:rPr>
          <w:rFonts w:ascii="Arial" w:hAnsi="Arial" w:cs="Arial"/>
        </w:rPr>
      </w:pPr>
      <w:r w:rsidRPr="00C96F1A">
        <w:rPr>
          <w:rFonts w:ascii="Arial" w:hAnsi="Arial" w:cs="Arial"/>
        </w:rPr>
        <w:t>In 2017–18, we:</w:t>
      </w:r>
    </w:p>
    <w:p w:rsidR="0028598A" w:rsidRPr="000E69F0" w:rsidRDefault="00B625AF" w:rsidP="00D806AE">
      <w:pPr>
        <w:pStyle w:val="ListParagraph"/>
        <w:numPr>
          <w:ilvl w:val="0"/>
          <w:numId w:val="85"/>
        </w:numPr>
        <w:rPr>
          <w:rFonts w:ascii="Arial" w:hAnsi="Arial" w:cs="Arial"/>
        </w:rPr>
      </w:pPr>
      <w:r w:rsidRPr="000E69F0">
        <w:rPr>
          <w:rFonts w:ascii="Arial" w:hAnsi="Arial" w:cs="Arial"/>
        </w:rPr>
        <w:t xml:space="preserve">launched </w:t>
      </w:r>
      <w:r w:rsidRPr="00224406">
        <w:rPr>
          <w:rFonts w:ascii="Arial" w:hAnsi="Arial" w:cs="Arial"/>
          <w:i/>
        </w:rPr>
        <w:t>Sunshine rebooted: the final Bjelke-Petersen Cabinet Minutes</w:t>
      </w:r>
      <w:r w:rsidRPr="000E69F0">
        <w:rPr>
          <w:rFonts w:ascii="Arial" w:hAnsi="Arial" w:cs="Arial"/>
        </w:rPr>
        <w:t xml:space="preserve"> exhibition using digital technologies, personal interviews and 1987 Cabinet minute records to explore the key decisions of this watershed year in political history and how ensuing events shaped a more inclusive and progressive state</w:t>
      </w:r>
    </w:p>
    <w:p w:rsidR="0028598A" w:rsidRPr="000E69F0" w:rsidRDefault="00B625AF" w:rsidP="00D806AE">
      <w:pPr>
        <w:pStyle w:val="ListParagraph"/>
        <w:numPr>
          <w:ilvl w:val="0"/>
          <w:numId w:val="85"/>
        </w:numPr>
        <w:rPr>
          <w:rFonts w:ascii="Arial" w:hAnsi="Arial" w:cs="Arial"/>
        </w:rPr>
      </w:pPr>
      <w:r w:rsidRPr="000E69F0">
        <w:rPr>
          <w:rFonts w:ascii="Arial" w:hAnsi="Arial" w:cs="Arial"/>
        </w:rPr>
        <w:lastRenderedPageBreak/>
        <w:t xml:space="preserve">partnered with the Museum of Brisbane to contribute original convict records to the </w:t>
      </w:r>
      <w:r w:rsidRPr="00224406">
        <w:rPr>
          <w:rFonts w:ascii="Arial" w:hAnsi="Arial" w:cs="Arial"/>
          <w:i/>
        </w:rPr>
        <w:t>Life in Irons: Brisbane’s convict stories exhibition</w:t>
      </w:r>
    </w:p>
    <w:p w:rsidR="0028598A" w:rsidRPr="000E69F0" w:rsidRDefault="00B625AF" w:rsidP="00D806AE">
      <w:pPr>
        <w:pStyle w:val="ListParagraph"/>
        <w:numPr>
          <w:ilvl w:val="0"/>
          <w:numId w:val="85"/>
        </w:numPr>
        <w:rPr>
          <w:rFonts w:ascii="Arial" w:hAnsi="Arial" w:cs="Arial"/>
        </w:rPr>
      </w:pPr>
      <w:r w:rsidRPr="000E69F0">
        <w:rPr>
          <w:rFonts w:ascii="Arial" w:hAnsi="Arial" w:cs="Arial"/>
        </w:rPr>
        <w:t xml:space="preserve">released the </w:t>
      </w:r>
      <w:r w:rsidRPr="00224406">
        <w:rPr>
          <w:rFonts w:ascii="Arial" w:hAnsi="Arial" w:cs="Arial"/>
          <w:i/>
        </w:rPr>
        <w:t>Records Governance Policy</w:t>
      </w:r>
      <w:r w:rsidRPr="000E69F0">
        <w:rPr>
          <w:rFonts w:ascii="Arial" w:hAnsi="Arial" w:cs="Arial"/>
        </w:rPr>
        <w:t xml:space="preserve"> on 29 June</w:t>
      </w:r>
      <w:r w:rsidR="000E69F0">
        <w:rPr>
          <w:rFonts w:ascii="Arial" w:hAnsi="Arial" w:cs="Arial"/>
        </w:rPr>
        <w:t xml:space="preserve"> </w:t>
      </w:r>
      <w:r w:rsidRPr="000E69F0">
        <w:rPr>
          <w:rFonts w:ascii="Arial" w:hAnsi="Arial" w:cs="Arial"/>
        </w:rPr>
        <w:t>2018 – a key action of the Recordkeeping Transformation Program, which aims to support agencies on their path to recordkeeping maturity</w:t>
      </w:r>
    </w:p>
    <w:p w:rsidR="0028598A" w:rsidRPr="000E69F0" w:rsidRDefault="00B625AF" w:rsidP="00D806AE">
      <w:pPr>
        <w:pStyle w:val="ListParagraph"/>
        <w:numPr>
          <w:ilvl w:val="0"/>
          <w:numId w:val="85"/>
        </w:numPr>
        <w:rPr>
          <w:rFonts w:ascii="Arial" w:hAnsi="Arial" w:cs="Arial"/>
        </w:rPr>
      </w:pPr>
      <w:r w:rsidRPr="000E69F0">
        <w:rPr>
          <w:rFonts w:ascii="Arial" w:hAnsi="Arial" w:cs="Arial"/>
        </w:rPr>
        <w:t>saw increased access to the archival collection by 63 per cent (3.5 million views) across all channels, compared to 2.1 million views during the same period last year</w:t>
      </w:r>
    </w:p>
    <w:p w:rsidR="0028598A" w:rsidRPr="000E69F0" w:rsidRDefault="00B625AF" w:rsidP="00D806AE">
      <w:pPr>
        <w:pStyle w:val="ListParagraph"/>
        <w:numPr>
          <w:ilvl w:val="0"/>
          <w:numId w:val="85"/>
        </w:numPr>
        <w:rPr>
          <w:rFonts w:ascii="Arial" w:hAnsi="Arial" w:cs="Arial"/>
        </w:rPr>
      </w:pPr>
      <w:r w:rsidRPr="000E69F0">
        <w:rPr>
          <w:rFonts w:ascii="Arial" w:hAnsi="Arial" w:cs="Arial"/>
        </w:rPr>
        <w:t>received funding for the Digital Archive Program (Stage 1) in June 2017 and commenced work to develop a plan for the future preservation of our state’s permanent value records</w:t>
      </w:r>
    </w:p>
    <w:p w:rsidR="0028598A" w:rsidRPr="000E69F0" w:rsidRDefault="00B625AF" w:rsidP="00D806AE">
      <w:pPr>
        <w:pStyle w:val="ListParagraph"/>
        <w:numPr>
          <w:ilvl w:val="0"/>
          <w:numId w:val="85"/>
        </w:numPr>
        <w:rPr>
          <w:rFonts w:ascii="Arial" w:hAnsi="Arial" w:cs="Arial"/>
        </w:rPr>
      </w:pPr>
      <w:r w:rsidRPr="000E69F0">
        <w:rPr>
          <w:rFonts w:ascii="Arial" w:hAnsi="Arial" w:cs="Arial"/>
        </w:rPr>
        <w:t>actively encouraged the transfer of open records to the collection, increasing the proportion of records available for researchers from 48 per cent of the collection to 57.4 per cent, achieved by collaborating with agencies to prepare and transfer records which would be immediately available to the Queensland public</w:t>
      </w:r>
    </w:p>
    <w:p w:rsidR="0028598A" w:rsidRPr="000E69F0" w:rsidRDefault="00B625AF" w:rsidP="00D806AE">
      <w:pPr>
        <w:pStyle w:val="ListParagraph"/>
        <w:numPr>
          <w:ilvl w:val="0"/>
          <w:numId w:val="85"/>
        </w:numPr>
        <w:rPr>
          <w:rFonts w:ascii="Arial" w:hAnsi="Arial" w:cs="Arial"/>
        </w:rPr>
      </w:pPr>
      <w:r w:rsidRPr="000E69F0">
        <w:rPr>
          <w:rFonts w:ascii="Arial" w:hAnsi="Arial" w:cs="Arial"/>
        </w:rPr>
        <w:t>partnered with the Open Data Institute Australian Network to drive collaboration and commence the development of an Australian-first digital platform for automating the quality certification of published datasets.</w:t>
      </w:r>
    </w:p>
    <w:p w:rsidR="0028598A" w:rsidRPr="00C96F1A" w:rsidRDefault="00B625AF" w:rsidP="00224406">
      <w:pPr>
        <w:pStyle w:val="Heading6"/>
      </w:pPr>
      <w:r w:rsidRPr="00C96F1A">
        <w:t>Our future focus</w:t>
      </w:r>
    </w:p>
    <w:p w:rsidR="0028598A" w:rsidRPr="00C96F1A" w:rsidRDefault="00B625AF" w:rsidP="00C96F1A">
      <w:pPr>
        <w:rPr>
          <w:rFonts w:ascii="Arial" w:hAnsi="Arial" w:cs="Arial"/>
        </w:rPr>
      </w:pPr>
      <w:r w:rsidRPr="00C96F1A">
        <w:rPr>
          <w:rFonts w:ascii="Arial" w:hAnsi="Arial" w:cs="Arial"/>
        </w:rPr>
        <w:t xml:space="preserve">In 2018–19, the department will continue to play a key support role in advancing the </w:t>
      </w:r>
      <w:r w:rsidR="00224406">
        <w:rPr>
          <w:rFonts w:ascii="Arial" w:hAnsi="Arial" w:cs="Arial"/>
        </w:rPr>
        <w:t>g</w:t>
      </w:r>
      <w:r w:rsidRPr="00C96F1A">
        <w:rPr>
          <w:rFonts w:ascii="Arial" w:hAnsi="Arial" w:cs="Arial"/>
        </w:rPr>
        <w:t>overnment’s responsive government priority. The delivery of innovative and integrated frontline services will be enabled by:</w:t>
      </w:r>
    </w:p>
    <w:p w:rsidR="0028598A" w:rsidRPr="00224406" w:rsidRDefault="00B625AF" w:rsidP="00D806AE">
      <w:pPr>
        <w:pStyle w:val="ListParagraph"/>
        <w:numPr>
          <w:ilvl w:val="0"/>
          <w:numId w:val="87"/>
        </w:numPr>
        <w:rPr>
          <w:rFonts w:ascii="Arial" w:hAnsi="Arial" w:cs="Arial"/>
        </w:rPr>
      </w:pPr>
      <w:r w:rsidRPr="00224406">
        <w:rPr>
          <w:rFonts w:ascii="Arial" w:hAnsi="Arial" w:cs="Arial"/>
        </w:rPr>
        <w:t>continuing to improve customer experience by supporting agencies to deliver simple and accessible services that reduce customer effort and make it easier to transact with government</w:t>
      </w:r>
    </w:p>
    <w:p w:rsidR="0028598A" w:rsidRPr="00224406" w:rsidRDefault="00B625AF" w:rsidP="00D806AE">
      <w:pPr>
        <w:pStyle w:val="ListParagraph"/>
        <w:numPr>
          <w:ilvl w:val="0"/>
          <w:numId w:val="87"/>
        </w:numPr>
        <w:rPr>
          <w:rFonts w:ascii="Arial" w:hAnsi="Arial" w:cs="Arial"/>
        </w:rPr>
      </w:pPr>
      <w:r w:rsidRPr="00224406">
        <w:rPr>
          <w:rFonts w:ascii="Arial" w:hAnsi="Arial" w:cs="Arial"/>
        </w:rPr>
        <w:t>delivering service excellence to Queenslanders via 13QGOV (13 74 68), online through qld.gov.au, and in person at Queensland Government Agent Program locations and Queensland Government Service Centres</w:t>
      </w:r>
    </w:p>
    <w:p w:rsidR="0028598A" w:rsidRPr="00224406" w:rsidRDefault="00B625AF" w:rsidP="00D806AE">
      <w:pPr>
        <w:pStyle w:val="ListParagraph"/>
        <w:numPr>
          <w:ilvl w:val="0"/>
          <w:numId w:val="87"/>
        </w:numPr>
        <w:rPr>
          <w:rFonts w:ascii="Arial" w:hAnsi="Arial" w:cs="Arial"/>
        </w:rPr>
      </w:pPr>
      <w:r w:rsidRPr="00224406">
        <w:rPr>
          <w:rFonts w:ascii="Arial" w:hAnsi="Arial" w:cs="Arial"/>
        </w:rPr>
        <w:t>developing a digital inclusion policy and action plan to improve digital inclusion outcomes for Queenslanders</w:t>
      </w:r>
    </w:p>
    <w:p w:rsidR="0028598A" w:rsidRPr="00224406" w:rsidRDefault="00B625AF" w:rsidP="00D806AE">
      <w:pPr>
        <w:pStyle w:val="ListParagraph"/>
        <w:numPr>
          <w:ilvl w:val="0"/>
          <w:numId w:val="87"/>
        </w:numPr>
        <w:rPr>
          <w:rFonts w:ascii="Arial" w:hAnsi="Arial" w:cs="Arial"/>
        </w:rPr>
      </w:pPr>
      <w:r w:rsidRPr="00224406">
        <w:rPr>
          <w:rFonts w:ascii="Arial" w:hAnsi="Arial" w:cs="Arial"/>
        </w:rPr>
        <w:t xml:space="preserve">continuing delivery of the </w:t>
      </w:r>
      <w:r w:rsidRPr="00987BCA">
        <w:rPr>
          <w:rFonts w:ascii="Arial" w:hAnsi="Arial" w:cs="Arial"/>
          <w:i/>
        </w:rPr>
        <w:t>Open Data Action Plan 2017–19</w:t>
      </w:r>
      <w:r w:rsidRPr="00224406">
        <w:rPr>
          <w:rFonts w:ascii="Arial" w:hAnsi="Arial" w:cs="Arial"/>
        </w:rPr>
        <w:t>, to make non-sensitive data open for all to access, use and share</w:t>
      </w:r>
    </w:p>
    <w:p w:rsidR="0028598A" w:rsidRPr="00224406" w:rsidRDefault="00B625AF" w:rsidP="00D806AE">
      <w:pPr>
        <w:pStyle w:val="ListParagraph"/>
        <w:numPr>
          <w:ilvl w:val="0"/>
          <w:numId w:val="87"/>
        </w:numPr>
        <w:rPr>
          <w:rFonts w:ascii="Arial" w:hAnsi="Arial" w:cs="Arial"/>
        </w:rPr>
      </w:pPr>
      <w:r w:rsidRPr="00224406">
        <w:rPr>
          <w:rFonts w:ascii="Arial" w:hAnsi="Arial" w:cs="Arial"/>
        </w:rPr>
        <w:t>developing a Queensland digital infrastructure plan to guide the planning, coordination and investment required to meet Queensland’s future digital infrastructure needs</w:t>
      </w:r>
    </w:p>
    <w:p w:rsidR="0028598A" w:rsidRPr="00224406" w:rsidRDefault="00B625AF" w:rsidP="00D806AE">
      <w:pPr>
        <w:pStyle w:val="ListParagraph"/>
        <w:numPr>
          <w:ilvl w:val="0"/>
          <w:numId w:val="87"/>
        </w:numPr>
        <w:rPr>
          <w:rFonts w:ascii="Arial" w:hAnsi="Arial" w:cs="Arial"/>
        </w:rPr>
      </w:pPr>
      <w:r w:rsidRPr="00224406">
        <w:rPr>
          <w:rFonts w:ascii="Arial" w:hAnsi="Arial" w:cs="Arial"/>
        </w:rPr>
        <w:t>implementing the five-year Recordkeeping Transformation Program (2017–22) to improve the standard of recordkeeping in government.</w:t>
      </w:r>
    </w:p>
    <w:p w:rsidR="0028598A" w:rsidRPr="00C96F1A" w:rsidRDefault="0028598A" w:rsidP="00C96F1A">
      <w:pPr>
        <w:rPr>
          <w:rFonts w:ascii="Arial" w:hAnsi="Arial" w:cs="Arial"/>
        </w:rPr>
      </w:pPr>
    </w:p>
    <w:p w:rsidR="00224406" w:rsidRDefault="00224406">
      <w:pPr>
        <w:spacing w:before="0" w:after="0"/>
        <w:rPr>
          <w:rFonts w:ascii="Arial" w:hAnsi="Arial" w:cs="Arial"/>
        </w:rPr>
      </w:pPr>
      <w:r>
        <w:rPr>
          <w:rFonts w:ascii="Arial" w:hAnsi="Arial" w:cs="Arial"/>
        </w:rPr>
        <w:br w:type="page"/>
      </w:r>
    </w:p>
    <w:p w:rsidR="0028598A" w:rsidRPr="00C96F1A" w:rsidRDefault="00B625AF" w:rsidP="00224406">
      <w:pPr>
        <w:pStyle w:val="Heading3"/>
      </w:pPr>
      <w:r w:rsidRPr="00C96F1A">
        <w:lastRenderedPageBreak/>
        <w:t>Service standards</w:t>
      </w:r>
    </w:p>
    <w:tbl>
      <w:tblPr>
        <w:tblW w:w="989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7180"/>
        <w:gridCol w:w="1409"/>
        <w:gridCol w:w="1243"/>
        <w:gridCol w:w="65"/>
      </w:tblGrid>
      <w:tr w:rsidR="00224406" w:rsidRPr="00CC1D31" w:rsidTr="00987BCA">
        <w:trPr>
          <w:tblHeader/>
        </w:trPr>
        <w:tc>
          <w:tcPr>
            <w:tcW w:w="7180" w:type="dxa"/>
            <w:shd w:val="clear" w:color="auto" w:fill="000000" w:themeFill="text1"/>
            <w:vAlign w:val="center"/>
          </w:tcPr>
          <w:p w:rsidR="00224406" w:rsidRPr="00735B1B" w:rsidRDefault="00224406" w:rsidP="00987BCA">
            <w:pPr>
              <w:pStyle w:val="TableTextHeading"/>
              <w:jc w:val="left"/>
              <w:rPr>
                <w:color w:val="FFFFFF" w:themeColor="background1"/>
                <w:vertAlign w:val="superscript"/>
              </w:rPr>
            </w:pPr>
            <w:r w:rsidRPr="11284B68">
              <w:rPr>
                <w:color w:val="FFFFFF" w:themeColor="background1"/>
              </w:rPr>
              <w:t>Service area: Digital Capability and Information</w:t>
            </w:r>
            <w:r w:rsidRPr="11284B68">
              <w:rPr>
                <w:color w:val="FFFFFF" w:themeColor="background1"/>
                <w:vertAlign w:val="superscript"/>
              </w:rPr>
              <w:t>1</w:t>
            </w:r>
          </w:p>
        </w:tc>
        <w:tc>
          <w:tcPr>
            <w:tcW w:w="1409" w:type="dxa"/>
            <w:shd w:val="clear" w:color="auto" w:fill="000000" w:themeFill="text1"/>
            <w:vAlign w:val="center"/>
            <w:hideMark/>
          </w:tcPr>
          <w:p w:rsidR="00224406" w:rsidRPr="00CC1D31" w:rsidRDefault="00224406" w:rsidP="00987BCA">
            <w:pPr>
              <w:pStyle w:val="TableTextHeading"/>
              <w:rPr>
                <w:color w:val="FFFFFF" w:themeColor="background1"/>
              </w:rPr>
            </w:pPr>
            <w:r w:rsidRPr="11284B68">
              <w:rPr>
                <w:color w:val="FFFFFF" w:themeColor="background1"/>
              </w:rPr>
              <w:t>2017</w:t>
            </w:r>
            <w:r>
              <w:rPr>
                <w:color w:val="FFFFFF" w:themeColor="background1"/>
              </w:rPr>
              <w:t>–</w:t>
            </w:r>
            <w:r w:rsidRPr="11284B68">
              <w:rPr>
                <w:color w:val="FFFFFF" w:themeColor="background1"/>
              </w:rPr>
              <w:t>18</w:t>
            </w:r>
          </w:p>
          <w:p w:rsidR="00224406" w:rsidRPr="00CC1D31" w:rsidRDefault="00224406" w:rsidP="00987BCA">
            <w:pPr>
              <w:pStyle w:val="TableTextHeading"/>
              <w:rPr>
                <w:color w:val="FFFFFF" w:themeColor="background1"/>
              </w:rPr>
            </w:pPr>
            <w:r w:rsidRPr="11284B68">
              <w:rPr>
                <w:color w:val="FFFFFF" w:themeColor="background1"/>
              </w:rPr>
              <w:t>Target/</w:t>
            </w:r>
            <w:r>
              <w:rPr>
                <w:color w:val="FFFFFF" w:themeColor="background1"/>
              </w:rPr>
              <w:t>e</w:t>
            </w:r>
            <w:r w:rsidRPr="11284B68">
              <w:rPr>
                <w:color w:val="FFFFFF" w:themeColor="background1"/>
              </w:rPr>
              <w:t>st.</w:t>
            </w:r>
          </w:p>
        </w:tc>
        <w:tc>
          <w:tcPr>
            <w:tcW w:w="1308" w:type="dxa"/>
            <w:gridSpan w:val="2"/>
            <w:shd w:val="clear" w:color="auto" w:fill="000000" w:themeFill="text1"/>
            <w:vAlign w:val="center"/>
            <w:hideMark/>
          </w:tcPr>
          <w:p w:rsidR="00224406" w:rsidRPr="00CC1D31" w:rsidRDefault="00224406" w:rsidP="00987BCA">
            <w:pPr>
              <w:pStyle w:val="TableTextHeading"/>
              <w:rPr>
                <w:color w:val="FFFFFF" w:themeColor="background1"/>
              </w:rPr>
            </w:pPr>
            <w:r w:rsidRPr="11284B68">
              <w:rPr>
                <w:color w:val="FFFFFF" w:themeColor="background1"/>
              </w:rPr>
              <w:t>2017</w:t>
            </w:r>
            <w:r>
              <w:rPr>
                <w:color w:val="FFFFFF" w:themeColor="background1"/>
              </w:rPr>
              <w:t>–</w:t>
            </w:r>
            <w:r w:rsidRPr="11284B68">
              <w:rPr>
                <w:color w:val="FFFFFF" w:themeColor="background1"/>
              </w:rPr>
              <w:t>18</w:t>
            </w:r>
          </w:p>
          <w:p w:rsidR="00224406" w:rsidRPr="00CC1D31" w:rsidRDefault="00224406" w:rsidP="00987BCA">
            <w:pPr>
              <w:pStyle w:val="TableTextHeading"/>
              <w:rPr>
                <w:color w:val="FFFFFF" w:themeColor="background1"/>
              </w:rPr>
            </w:pPr>
            <w:r w:rsidRPr="11284B68">
              <w:rPr>
                <w:color w:val="FFFFFF" w:themeColor="background1"/>
              </w:rPr>
              <w:t>Actual</w:t>
            </w:r>
          </w:p>
        </w:tc>
      </w:tr>
      <w:tr w:rsidR="00224406" w:rsidRPr="00E9490D" w:rsidTr="00987BCA">
        <w:tc>
          <w:tcPr>
            <w:tcW w:w="7180" w:type="dxa"/>
            <w:shd w:val="clear" w:color="auto" w:fill="808080" w:themeFill="text1" w:themeFillTint="7F"/>
            <w:vAlign w:val="center"/>
          </w:tcPr>
          <w:p w:rsidR="00224406" w:rsidRPr="00A85320" w:rsidRDefault="00224406" w:rsidP="00987BCA">
            <w:pPr>
              <w:pStyle w:val="TableTextHeading"/>
              <w:jc w:val="left"/>
              <w:rPr>
                <w:color w:val="FFFFFF" w:themeColor="background1"/>
                <w:vertAlign w:val="superscript"/>
              </w:rPr>
            </w:pPr>
            <w:r w:rsidRPr="11284B68">
              <w:rPr>
                <w:color w:val="FFFFFF" w:themeColor="background1"/>
              </w:rPr>
              <w:t>Service: Whole-of-</w:t>
            </w:r>
            <w:r>
              <w:rPr>
                <w:color w:val="FFFFFF" w:themeColor="background1"/>
              </w:rPr>
              <w:t>g</w:t>
            </w:r>
            <w:r w:rsidRPr="11284B68">
              <w:rPr>
                <w:color w:val="FFFFFF" w:themeColor="background1"/>
              </w:rPr>
              <w:t>overnment customer experience</w:t>
            </w:r>
            <w:r w:rsidRPr="11284B68">
              <w:rPr>
                <w:color w:val="FFFFFF" w:themeColor="background1"/>
                <w:vertAlign w:val="superscript"/>
              </w:rPr>
              <w:t>2</w:t>
            </w:r>
          </w:p>
        </w:tc>
        <w:tc>
          <w:tcPr>
            <w:tcW w:w="1409" w:type="dxa"/>
            <w:shd w:val="clear" w:color="auto" w:fill="808080" w:themeFill="text1" w:themeFillTint="7F"/>
            <w:vAlign w:val="center"/>
          </w:tcPr>
          <w:p w:rsidR="00224406" w:rsidRPr="00E9490D" w:rsidRDefault="00224406" w:rsidP="00987BCA">
            <w:pPr>
              <w:pStyle w:val="TableTextHeading"/>
              <w:jc w:val="left"/>
              <w:rPr>
                <w:color w:val="FFFFFF" w:themeColor="background1"/>
              </w:rPr>
            </w:pPr>
          </w:p>
        </w:tc>
        <w:tc>
          <w:tcPr>
            <w:tcW w:w="1308" w:type="dxa"/>
            <w:gridSpan w:val="2"/>
            <w:shd w:val="clear" w:color="auto" w:fill="808080" w:themeFill="text1" w:themeFillTint="7F"/>
            <w:vAlign w:val="center"/>
          </w:tcPr>
          <w:p w:rsidR="00224406" w:rsidRPr="00E9490D" w:rsidRDefault="00224406" w:rsidP="00987BCA">
            <w:pPr>
              <w:pStyle w:val="TableTextHeading"/>
              <w:jc w:val="left"/>
              <w:rPr>
                <w:color w:val="FFFFFF" w:themeColor="background1"/>
              </w:rPr>
            </w:pPr>
          </w:p>
        </w:tc>
      </w:tr>
      <w:tr w:rsidR="00224406" w:rsidRPr="00246DD9" w:rsidTr="00987BCA">
        <w:trPr>
          <w:gridAfter w:val="1"/>
          <w:wAfter w:w="65" w:type="dxa"/>
        </w:trPr>
        <w:tc>
          <w:tcPr>
            <w:tcW w:w="7180" w:type="dxa"/>
            <w:shd w:val="clear" w:color="auto" w:fill="D9D9D9" w:themeFill="background1" w:themeFillShade="D9"/>
            <w:vAlign w:val="bottom"/>
          </w:tcPr>
          <w:p w:rsidR="00224406" w:rsidRPr="006E3426" w:rsidRDefault="00224406" w:rsidP="00987BCA">
            <w:pPr>
              <w:pStyle w:val="TableTextBold"/>
            </w:pPr>
            <w:r>
              <w:t>Effectiveness measures</w:t>
            </w:r>
          </w:p>
        </w:tc>
        <w:tc>
          <w:tcPr>
            <w:tcW w:w="1409" w:type="dxa"/>
            <w:shd w:val="clear" w:color="auto" w:fill="D9D9D9" w:themeFill="background1" w:themeFillShade="D9"/>
          </w:tcPr>
          <w:p w:rsidR="00224406" w:rsidRPr="00994A8B" w:rsidRDefault="00224406" w:rsidP="00987BCA">
            <w:pPr>
              <w:pStyle w:val="TableTextRight"/>
            </w:pPr>
          </w:p>
        </w:tc>
        <w:tc>
          <w:tcPr>
            <w:tcW w:w="1243" w:type="dxa"/>
            <w:shd w:val="clear" w:color="auto" w:fill="D9D9D9" w:themeFill="background1" w:themeFillShade="D9"/>
          </w:tcPr>
          <w:p w:rsidR="00224406" w:rsidRDefault="00224406" w:rsidP="00987BCA">
            <w:pPr>
              <w:pStyle w:val="TableTextRight"/>
            </w:pPr>
          </w:p>
        </w:tc>
      </w:tr>
      <w:tr w:rsidR="00224406" w:rsidRPr="00246DD9" w:rsidTr="00987BCA">
        <w:trPr>
          <w:gridAfter w:val="1"/>
          <w:wAfter w:w="65" w:type="dxa"/>
        </w:trPr>
        <w:tc>
          <w:tcPr>
            <w:tcW w:w="7180" w:type="dxa"/>
            <w:tcBorders>
              <w:bottom w:val="nil"/>
            </w:tcBorders>
          </w:tcPr>
          <w:p w:rsidR="00224406" w:rsidRPr="00D63662" w:rsidRDefault="00224406" w:rsidP="00987BCA">
            <w:pPr>
              <w:pStyle w:val="TableText"/>
              <w:rPr>
                <w:rFonts w:eastAsia="Arial" w:cs="Arial"/>
              </w:rPr>
            </w:pPr>
            <w:r w:rsidRPr="00AF05E5">
              <w:t>Percentage of customers satisfied with the services provided by Smart Service Queensland on behalf of government agencies</w:t>
            </w:r>
          </w:p>
        </w:tc>
        <w:tc>
          <w:tcPr>
            <w:tcW w:w="1409" w:type="dxa"/>
            <w:tcBorders>
              <w:bottom w:val="nil"/>
            </w:tcBorders>
          </w:tcPr>
          <w:p w:rsidR="00224406" w:rsidRPr="00246DD9" w:rsidRDefault="00224406" w:rsidP="00987BCA">
            <w:pPr>
              <w:pStyle w:val="TableTextRight"/>
            </w:pPr>
            <w:r w:rsidRPr="00AF05E5">
              <w:t xml:space="preserve">≥85% </w:t>
            </w:r>
          </w:p>
        </w:tc>
        <w:tc>
          <w:tcPr>
            <w:tcW w:w="1243" w:type="dxa"/>
            <w:tcBorders>
              <w:bottom w:val="nil"/>
            </w:tcBorders>
          </w:tcPr>
          <w:p w:rsidR="00224406" w:rsidRPr="00246DD9" w:rsidRDefault="00224406" w:rsidP="00987BCA">
            <w:pPr>
              <w:pStyle w:val="TableTextRight"/>
            </w:pPr>
            <w:r w:rsidRPr="00AF05E5">
              <w:t>94%</w:t>
            </w:r>
          </w:p>
        </w:tc>
      </w:tr>
      <w:tr w:rsidR="00224406" w:rsidRPr="00246DD9" w:rsidTr="00987BCA">
        <w:trPr>
          <w:gridAfter w:val="1"/>
          <w:wAfter w:w="65" w:type="dxa"/>
        </w:trPr>
        <w:tc>
          <w:tcPr>
            <w:tcW w:w="7180" w:type="dxa"/>
            <w:tcBorders>
              <w:bottom w:val="nil"/>
            </w:tcBorders>
          </w:tcPr>
          <w:p w:rsidR="00224406" w:rsidRPr="00D63662" w:rsidRDefault="00224406" w:rsidP="00987BCA">
            <w:pPr>
              <w:pStyle w:val="TableText"/>
              <w:rPr>
                <w:rFonts w:eastAsia="Arial" w:cs="Arial"/>
              </w:rPr>
            </w:pPr>
            <w:r w:rsidRPr="00AF05E5">
              <w:t>Percentage of clients satisfied with the services provided by Smart Service Queensland on their behalf</w:t>
            </w:r>
          </w:p>
        </w:tc>
        <w:tc>
          <w:tcPr>
            <w:tcW w:w="1409" w:type="dxa"/>
            <w:tcBorders>
              <w:bottom w:val="nil"/>
            </w:tcBorders>
          </w:tcPr>
          <w:p w:rsidR="00224406" w:rsidRPr="00246DD9" w:rsidRDefault="00224406" w:rsidP="00987BCA">
            <w:pPr>
              <w:pStyle w:val="TableTextRight"/>
            </w:pPr>
            <w:r w:rsidRPr="00AF05E5">
              <w:t xml:space="preserve">≥80% </w:t>
            </w:r>
          </w:p>
        </w:tc>
        <w:tc>
          <w:tcPr>
            <w:tcW w:w="1243" w:type="dxa"/>
            <w:tcBorders>
              <w:bottom w:val="nil"/>
            </w:tcBorders>
          </w:tcPr>
          <w:p w:rsidR="00224406" w:rsidRPr="00246DD9" w:rsidRDefault="00224406" w:rsidP="00987BCA">
            <w:pPr>
              <w:pStyle w:val="TableTextRight"/>
            </w:pPr>
            <w:r w:rsidRPr="00AF05E5">
              <w:t>81%</w:t>
            </w:r>
          </w:p>
        </w:tc>
      </w:tr>
      <w:tr w:rsidR="00224406" w:rsidRPr="00246DD9" w:rsidTr="00987BCA">
        <w:trPr>
          <w:gridAfter w:val="1"/>
          <w:wAfter w:w="65" w:type="dxa"/>
        </w:trPr>
        <w:tc>
          <w:tcPr>
            <w:tcW w:w="7180" w:type="dxa"/>
            <w:tcBorders>
              <w:top w:val="nil"/>
            </w:tcBorders>
          </w:tcPr>
          <w:p w:rsidR="001224D0" w:rsidRPr="001224D0" w:rsidRDefault="001224D0" w:rsidP="001224D0">
            <w:pPr>
              <w:pStyle w:val="TableText"/>
              <w:rPr>
                <w:rFonts w:ascii="Arial Narrow" w:eastAsia="Arial Narrow" w:hAnsi="Arial Narrow" w:cs="Arial Narrow"/>
                <w:i/>
                <w:iCs/>
                <w:sz w:val="16"/>
                <w:szCs w:val="16"/>
              </w:rPr>
            </w:pPr>
            <w:r w:rsidRPr="001224D0">
              <w:rPr>
                <w:rFonts w:ascii="Arial Narrow" w:eastAsia="Arial Narrow" w:hAnsi="Arial Narrow" w:cs="Arial Narrow"/>
                <w:i/>
                <w:iCs/>
                <w:sz w:val="16"/>
                <w:szCs w:val="16"/>
              </w:rPr>
              <w:t xml:space="preserve">This service standard was transferred from the (former) Department of Science, Information Technology and Innovation (‘Services for Queenslanders’ service area) following machinery-of-government changes to a new service area ‘Digital Capability and Information’. </w:t>
            </w:r>
          </w:p>
          <w:p w:rsidR="00224406" w:rsidRPr="00D63662" w:rsidRDefault="001224D0" w:rsidP="001224D0">
            <w:pPr>
              <w:pStyle w:val="TableText"/>
              <w:rPr>
                <w:rFonts w:eastAsia="Arial" w:cs="Arial"/>
              </w:rPr>
            </w:pPr>
            <w:r w:rsidRPr="001224D0">
              <w:rPr>
                <w:rFonts w:ascii="Arial Narrow" w:eastAsia="Arial Narrow" w:hAnsi="Arial Narrow" w:cs="Arial Narrow"/>
                <w:i/>
                <w:iCs/>
                <w:sz w:val="16"/>
                <w:szCs w:val="16"/>
              </w:rPr>
              <w:t>This service standard is being discontinued in 2018–19 as the approach to measuring client satisfaction via a survey tool is not achieving a satisfactory sample size. A replacement effectiveness measure will be introduced in a future Service Delivery Statement. The measure will continue to be reported internally to monitor performance and consider business process improvements.</w:t>
            </w:r>
            <w:r>
              <w:rPr>
                <w:rFonts w:cs="MetaNormalLF-Italic"/>
                <w:color w:val="000000"/>
                <w:sz w:val="14"/>
                <w:szCs w:val="14"/>
              </w:rPr>
              <w:t xml:space="preserve"> </w:t>
            </w:r>
          </w:p>
        </w:tc>
        <w:tc>
          <w:tcPr>
            <w:tcW w:w="1409" w:type="dxa"/>
            <w:tcBorders>
              <w:top w:val="nil"/>
            </w:tcBorders>
          </w:tcPr>
          <w:p w:rsidR="00224406" w:rsidRPr="00246DD9" w:rsidRDefault="00224406" w:rsidP="00987BCA">
            <w:pPr>
              <w:pStyle w:val="TableTextRight"/>
            </w:pPr>
          </w:p>
        </w:tc>
        <w:tc>
          <w:tcPr>
            <w:tcW w:w="1243" w:type="dxa"/>
            <w:tcBorders>
              <w:top w:val="nil"/>
            </w:tcBorders>
          </w:tcPr>
          <w:p w:rsidR="00224406" w:rsidRPr="00246DD9" w:rsidRDefault="00224406" w:rsidP="00987BCA">
            <w:pPr>
              <w:pStyle w:val="TableTextRight"/>
            </w:pPr>
          </w:p>
        </w:tc>
      </w:tr>
      <w:tr w:rsidR="00224406" w:rsidRPr="00E9490D" w:rsidTr="00987BCA">
        <w:trPr>
          <w:gridAfter w:val="1"/>
          <w:wAfter w:w="65" w:type="dxa"/>
        </w:trPr>
        <w:tc>
          <w:tcPr>
            <w:tcW w:w="7180" w:type="dxa"/>
            <w:tcBorders>
              <w:bottom w:val="nil"/>
            </w:tcBorders>
            <w:shd w:val="clear" w:color="auto" w:fill="FFFFFF" w:themeFill="background1"/>
            <w:vAlign w:val="bottom"/>
          </w:tcPr>
          <w:p w:rsidR="00224406" w:rsidRPr="00D63662" w:rsidRDefault="00224406" w:rsidP="00987BCA">
            <w:pPr>
              <w:pStyle w:val="TableText"/>
              <w:rPr>
                <w:rFonts w:eastAsia="Arial" w:cs="Arial"/>
              </w:rPr>
            </w:pPr>
            <w:r w:rsidRPr="00AF05E5">
              <w:t>Percentage of clients satisfied with the One</w:t>
            </w:r>
            <w:r>
              <w:t>-</w:t>
            </w:r>
            <w:r w:rsidRPr="00AF05E5">
              <w:t xml:space="preserve">Stop Shop </w:t>
            </w:r>
            <w:r>
              <w:t>p</w:t>
            </w:r>
            <w:r w:rsidRPr="00AF05E5">
              <w:t>rogram</w:t>
            </w:r>
          </w:p>
        </w:tc>
        <w:tc>
          <w:tcPr>
            <w:tcW w:w="1409" w:type="dxa"/>
            <w:tcBorders>
              <w:bottom w:val="nil"/>
            </w:tcBorders>
            <w:shd w:val="clear" w:color="auto" w:fill="FFFFFF" w:themeFill="background1"/>
          </w:tcPr>
          <w:p w:rsidR="00224406" w:rsidRPr="00D63662" w:rsidRDefault="00224406" w:rsidP="00987BCA">
            <w:pPr>
              <w:pStyle w:val="TableText"/>
              <w:jc w:val="right"/>
              <w:rPr>
                <w:rFonts w:eastAsia="Arial" w:cs="Arial"/>
              </w:rPr>
            </w:pPr>
            <w:r w:rsidRPr="00AF05E5">
              <w:t xml:space="preserve">82% </w:t>
            </w:r>
          </w:p>
        </w:tc>
        <w:tc>
          <w:tcPr>
            <w:tcW w:w="1243" w:type="dxa"/>
            <w:tcBorders>
              <w:bottom w:val="nil"/>
            </w:tcBorders>
            <w:shd w:val="clear" w:color="auto" w:fill="FFFFFF" w:themeFill="background1"/>
          </w:tcPr>
          <w:p w:rsidR="00224406" w:rsidRPr="00D63662" w:rsidRDefault="00224406" w:rsidP="00987BCA">
            <w:pPr>
              <w:pStyle w:val="TableText"/>
              <w:jc w:val="right"/>
              <w:rPr>
                <w:rFonts w:eastAsia="Arial" w:cs="Arial"/>
              </w:rPr>
            </w:pPr>
            <w:r w:rsidRPr="00AF05E5">
              <w:t>85%</w:t>
            </w:r>
          </w:p>
        </w:tc>
      </w:tr>
      <w:tr w:rsidR="00224406" w:rsidRPr="00E9490D" w:rsidTr="00987BCA">
        <w:trPr>
          <w:gridAfter w:val="1"/>
          <w:wAfter w:w="65" w:type="dxa"/>
        </w:trPr>
        <w:tc>
          <w:tcPr>
            <w:tcW w:w="7180" w:type="dxa"/>
            <w:tcBorders>
              <w:top w:val="nil"/>
            </w:tcBorders>
            <w:shd w:val="clear" w:color="auto" w:fill="FFFFFF" w:themeFill="background1"/>
            <w:vAlign w:val="bottom"/>
          </w:tcPr>
          <w:p w:rsidR="001224D0" w:rsidRPr="001224D0" w:rsidRDefault="001224D0" w:rsidP="001224D0">
            <w:pPr>
              <w:pStyle w:val="TableText"/>
              <w:rPr>
                <w:rFonts w:ascii="Arial Narrow" w:eastAsia="Arial Narrow" w:hAnsi="Arial Narrow" w:cs="Arial Narrow"/>
                <w:i/>
                <w:iCs/>
                <w:sz w:val="16"/>
                <w:szCs w:val="16"/>
              </w:rPr>
            </w:pPr>
            <w:r w:rsidRPr="001224D0">
              <w:rPr>
                <w:rFonts w:ascii="Arial Narrow" w:eastAsia="Arial Narrow" w:hAnsi="Arial Narrow" w:cs="Arial Narrow"/>
                <w:i/>
                <w:iCs/>
                <w:sz w:val="16"/>
                <w:szCs w:val="16"/>
              </w:rPr>
              <w:t xml:space="preserve">This service standard was transferred from the (former) Department of Science, Information Technology and Innovation (‘Services for Queenslanders’ service area) following machinery-of-government changes to a new service area ‘Digital Capability and Information’. </w:t>
            </w:r>
          </w:p>
          <w:p w:rsidR="00224406" w:rsidRPr="00D63662" w:rsidRDefault="001224D0" w:rsidP="001224D0">
            <w:pPr>
              <w:pStyle w:val="TableText"/>
              <w:rPr>
                <w:rFonts w:eastAsia="Arial" w:cs="Arial"/>
              </w:rPr>
            </w:pPr>
            <w:r w:rsidRPr="001224D0">
              <w:rPr>
                <w:rFonts w:ascii="Arial Narrow" w:eastAsia="Arial Narrow" w:hAnsi="Arial Narrow" w:cs="Arial Narrow"/>
                <w:i/>
                <w:iCs/>
                <w:sz w:val="16"/>
                <w:szCs w:val="16"/>
              </w:rPr>
              <w:t>This service standard is being discontinued in 2018–19 as the One-Stop Shop Plan 2013–2018 concludes in 2017–18. A replacement whole-of-government customer experience measure will be developed.</w:t>
            </w:r>
            <w:r>
              <w:rPr>
                <w:rFonts w:cs="MetaNormalLF-Italic"/>
                <w:color w:val="000000"/>
                <w:sz w:val="14"/>
                <w:szCs w:val="14"/>
              </w:rPr>
              <w:t xml:space="preserve"> </w:t>
            </w:r>
            <w:r w:rsidR="00224406" w:rsidRPr="599807E0">
              <w:rPr>
                <w:rFonts w:ascii="Arial Narrow" w:eastAsia="Arial Narrow" w:hAnsi="Arial Narrow" w:cs="Arial Narrow"/>
                <w:i/>
                <w:iCs/>
                <w:sz w:val="16"/>
                <w:szCs w:val="16"/>
              </w:rPr>
              <w:t xml:space="preserve"> </w:t>
            </w:r>
          </w:p>
        </w:tc>
        <w:tc>
          <w:tcPr>
            <w:tcW w:w="1409" w:type="dxa"/>
            <w:tcBorders>
              <w:top w:val="nil"/>
            </w:tcBorders>
            <w:shd w:val="clear" w:color="auto" w:fill="FFFFFF" w:themeFill="background1"/>
          </w:tcPr>
          <w:p w:rsidR="00224406" w:rsidRPr="00E9490D" w:rsidRDefault="00224406" w:rsidP="00987BCA">
            <w:pPr>
              <w:pStyle w:val="TableText"/>
              <w:rPr>
                <w:rFonts w:cs="Arial"/>
                <w:szCs w:val="19"/>
              </w:rPr>
            </w:pPr>
          </w:p>
        </w:tc>
        <w:tc>
          <w:tcPr>
            <w:tcW w:w="1243" w:type="dxa"/>
            <w:tcBorders>
              <w:top w:val="nil"/>
            </w:tcBorders>
            <w:shd w:val="clear" w:color="auto" w:fill="FFFFFF" w:themeFill="background1"/>
          </w:tcPr>
          <w:p w:rsidR="00224406" w:rsidRPr="00E9490D" w:rsidRDefault="00224406" w:rsidP="00987BCA">
            <w:pPr>
              <w:pStyle w:val="TableText"/>
              <w:rPr>
                <w:rFonts w:cs="Arial"/>
                <w:szCs w:val="19"/>
              </w:rPr>
            </w:pPr>
          </w:p>
        </w:tc>
      </w:tr>
      <w:tr w:rsidR="00224406" w:rsidRPr="00E9490D" w:rsidTr="00987BCA">
        <w:trPr>
          <w:gridAfter w:val="1"/>
          <w:wAfter w:w="65" w:type="dxa"/>
        </w:trPr>
        <w:tc>
          <w:tcPr>
            <w:tcW w:w="7180" w:type="dxa"/>
            <w:shd w:val="clear" w:color="auto" w:fill="D9D9D9" w:themeFill="background1" w:themeFillShade="D9"/>
          </w:tcPr>
          <w:p w:rsidR="00224406" w:rsidRPr="00E9490D" w:rsidRDefault="00224406" w:rsidP="00987BCA">
            <w:pPr>
              <w:pStyle w:val="TableTextBold"/>
            </w:pPr>
            <w:r w:rsidRPr="00E9490D">
              <w:t>Efficiency measure</w:t>
            </w:r>
            <w:r w:rsidR="00D250FD">
              <w:t>s</w:t>
            </w:r>
          </w:p>
        </w:tc>
        <w:tc>
          <w:tcPr>
            <w:tcW w:w="1409" w:type="dxa"/>
            <w:shd w:val="clear" w:color="auto" w:fill="D9D9D9" w:themeFill="background1" w:themeFillShade="D9"/>
          </w:tcPr>
          <w:p w:rsidR="00224406" w:rsidRPr="00246DD9" w:rsidRDefault="00224406" w:rsidP="00987BCA">
            <w:pPr>
              <w:pStyle w:val="TableTextBold"/>
            </w:pPr>
          </w:p>
        </w:tc>
        <w:tc>
          <w:tcPr>
            <w:tcW w:w="1243" w:type="dxa"/>
            <w:shd w:val="clear" w:color="auto" w:fill="D9D9D9" w:themeFill="background1" w:themeFillShade="D9"/>
          </w:tcPr>
          <w:p w:rsidR="00224406" w:rsidRPr="00246DD9" w:rsidRDefault="00224406" w:rsidP="00987BCA">
            <w:pPr>
              <w:pStyle w:val="TableTextBold"/>
            </w:pPr>
          </w:p>
        </w:tc>
      </w:tr>
      <w:tr w:rsidR="00224406" w:rsidRPr="00246DD9" w:rsidTr="00987BCA">
        <w:trPr>
          <w:gridAfter w:val="1"/>
          <w:wAfter w:w="65" w:type="dxa"/>
        </w:trPr>
        <w:tc>
          <w:tcPr>
            <w:tcW w:w="7180" w:type="dxa"/>
            <w:tcBorders>
              <w:top w:val="single" w:sz="4" w:space="0" w:color="000000" w:themeColor="text1"/>
              <w:left w:val="single" w:sz="4" w:space="0" w:color="000000" w:themeColor="text1"/>
              <w:bottom w:val="nil"/>
              <w:right w:val="single" w:sz="4" w:space="0" w:color="000000" w:themeColor="text1"/>
            </w:tcBorders>
          </w:tcPr>
          <w:p w:rsidR="00224406" w:rsidRPr="00D63662" w:rsidRDefault="00224406" w:rsidP="00987BCA">
            <w:pPr>
              <w:pStyle w:val="TableText"/>
              <w:rPr>
                <w:rFonts w:eastAsia="Arial" w:cs="Arial"/>
              </w:rPr>
            </w:pPr>
            <w:r w:rsidRPr="00AF05E5">
              <w:t>Cost per customer service interaction (all interaction</w:t>
            </w:r>
            <w:r w:rsidR="00D250FD">
              <w:t>s</w:t>
            </w:r>
            <w:r w:rsidRPr="00AF05E5">
              <w:t>)</w:t>
            </w:r>
          </w:p>
        </w:tc>
        <w:tc>
          <w:tcPr>
            <w:tcW w:w="1409" w:type="dxa"/>
            <w:tcBorders>
              <w:top w:val="single" w:sz="4" w:space="0" w:color="000000" w:themeColor="text1"/>
              <w:left w:val="single" w:sz="4" w:space="0" w:color="000000" w:themeColor="text1"/>
              <w:bottom w:val="nil"/>
              <w:right w:val="single" w:sz="4" w:space="0" w:color="000000" w:themeColor="text1"/>
            </w:tcBorders>
          </w:tcPr>
          <w:p w:rsidR="00224406" w:rsidRPr="00F900AE" w:rsidRDefault="00224406" w:rsidP="00987BCA">
            <w:pPr>
              <w:pStyle w:val="TableTextRight"/>
            </w:pPr>
            <w:r w:rsidRPr="00AF05E5">
              <w:t xml:space="preserve">$1.10 </w:t>
            </w:r>
          </w:p>
        </w:tc>
        <w:tc>
          <w:tcPr>
            <w:tcW w:w="1243" w:type="dxa"/>
            <w:tcBorders>
              <w:top w:val="single" w:sz="4" w:space="0" w:color="000000" w:themeColor="text1"/>
              <w:left w:val="single" w:sz="4" w:space="0" w:color="000000" w:themeColor="text1"/>
              <w:bottom w:val="nil"/>
              <w:right w:val="single" w:sz="4" w:space="0" w:color="000000" w:themeColor="text1"/>
            </w:tcBorders>
          </w:tcPr>
          <w:p w:rsidR="00224406" w:rsidRPr="00F900AE" w:rsidRDefault="00224406" w:rsidP="00987BCA">
            <w:pPr>
              <w:pStyle w:val="TableTextRight"/>
            </w:pPr>
            <w:r w:rsidRPr="00AF05E5">
              <w:t>$0.71</w:t>
            </w:r>
          </w:p>
        </w:tc>
      </w:tr>
      <w:tr w:rsidR="00224406" w:rsidRPr="00246DD9" w:rsidTr="00987BCA">
        <w:trPr>
          <w:gridAfter w:val="1"/>
          <w:wAfter w:w="65" w:type="dxa"/>
        </w:trPr>
        <w:tc>
          <w:tcPr>
            <w:tcW w:w="7180" w:type="dxa"/>
            <w:tcBorders>
              <w:top w:val="nil"/>
              <w:left w:val="single" w:sz="4" w:space="0" w:color="000000" w:themeColor="text1"/>
              <w:bottom w:val="single" w:sz="4" w:space="0" w:color="000000" w:themeColor="text1"/>
              <w:right w:val="single" w:sz="4" w:space="0" w:color="000000" w:themeColor="text1"/>
            </w:tcBorders>
          </w:tcPr>
          <w:p w:rsidR="00224406" w:rsidRPr="001224D0" w:rsidRDefault="001224D0" w:rsidP="001224D0">
            <w:pPr>
              <w:pStyle w:val="TableText"/>
              <w:rPr>
                <w:rFonts w:ascii="MetaNormalLF-Italic" w:eastAsiaTheme="minorEastAsia" w:hAnsi="MetaNormalLF-Italic" w:cs="MetaNormalLF-Italic"/>
                <w:color w:val="000000"/>
                <w:sz w:val="14"/>
                <w:szCs w:val="14"/>
              </w:rPr>
            </w:pPr>
            <w:r w:rsidRPr="001224D0">
              <w:rPr>
                <w:rFonts w:ascii="Arial Narrow" w:eastAsia="Arial Narrow" w:hAnsi="Arial Narrow" w:cs="Arial Narrow"/>
                <w:i/>
                <w:iCs/>
                <w:sz w:val="16"/>
                <w:szCs w:val="16"/>
              </w:rPr>
              <w:t>The positive 2017–18 result is due to increased online transactions. The target for this measure will be reviewed in subsequent years as trend and cost data matures.</w:t>
            </w:r>
            <w:r>
              <w:rPr>
                <w:rFonts w:cs="MetaNormalLF-Italic"/>
                <w:color w:val="000000"/>
                <w:sz w:val="14"/>
                <w:szCs w:val="14"/>
              </w:rPr>
              <w:t xml:space="preserve"> </w:t>
            </w:r>
          </w:p>
        </w:tc>
        <w:tc>
          <w:tcPr>
            <w:tcW w:w="1409" w:type="dxa"/>
            <w:tcBorders>
              <w:top w:val="nil"/>
              <w:left w:val="single" w:sz="4" w:space="0" w:color="000000" w:themeColor="text1"/>
              <w:bottom w:val="single" w:sz="4" w:space="0" w:color="000000" w:themeColor="text1"/>
              <w:right w:val="single" w:sz="4" w:space="0" w:color="000000" w:themeColor="text1"/>
            </w:tcBorders>
          </w:tcPr>
          <w:p w:rsidR="00224406" w:rsidRDefault="00224406" w:rsidP="00987BCA">
            <w:pPr>
              <w:pStyle w:val="TableTextRight"/>
              <w:rPr>
                <w:rFonts w:cs="Arial"/>
                <w:szCs w:val="19"/>
              </w:rPr>
            </w:pPr>
          </w:p>
        </w:tc>
        <w:tc>
          <w:tcPr>
            <w:tcW w:w="1243" w:type="dxa"/>
            <w:tcBorders>
              <w:top w:val="nil"/>
              <w:left w:val="single" w:sz="4" w:space="0" w:color="000000" w:themeColor="text1"/>
              <w:bottom w:val="single" w:sz="4" w:space="0" w:color="000000" w:themeColor="text1"/>
              <w:right w:val="single" w:sz="4" w:space="0" w:color="000000" w:themeColor="text1"/>
            </w:tcBorders>
          </w:tcPr>
          <w:p w:rsidR="00224406" w:rsidRDefault="00224406" w:rsidP="00987BCA">
            <w:pPr>
              <w:pStyle w:val="TableTextRight"/>
              <w:rPr>
                <w:rFonts w:cs="Arial"/>
                <w:szCs w:val="19"/>
              </w:rPr>
            </w:pPr>
          </w:p>
        </w:tc>
      </w:tr>
      <w:tr w:rsidR="00224406" w:rsidRPr="00E9490D" w:rsidTr="00987BCA">
        <w:trPr>
          <w:gridAfter w:val="1"/>
          <w:wAfter w:w="65" w:type="dxa"/>
        </w:trPr>
        <w:tc>
          <w:tcPr>
            <w:tcW w:w="7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text1" w:themeFillTint="7F"/>
            <w:vAlign w:val="center"/>
          </w:tcPr>
          <w:p w:rsidR="00224406" w:rsidRPr="00E9490D" w:rsidRDefault="00224406" w:rsidP="00987BCA">
            <w:pPr>
              <w:pStyle w:val="TableTextHeading"/>
              <w:jc w:val="left"/>
              <w:rPr>
                <w:color w:val="FFFFFF" w:themeColor="background1"/>
              </w:rPr>
            </w:pPr>
            <w:r w:rsidRPr="11284B68">
              <w:rPr>
                <w:color w:val="FFFFFF" w:themeColor="background1"/>
              </w:rPr>
              <w:t xml:space="preserve">Service: Government </w:t>
            </w:r>
            <w:r>
              <w:rPr>
                <w:color w:val="FFFFFF" w:themeColor="background1"/>
              </w:rPr>
              <w:t>r</w:t>
            </w:r>
            <w:r w:rsidRPr="11284B68">
              <w:rPr>
                <w:color w:val="FFFFFF" w:themeColor="background1"/>
              </w:rPr>
              <w:t xml:space="preserve">ecordkeeping and </w:t>
            </w:r>
            <w:r>
              <w:rPr>
                <w:color w:val="FFFFFF" w:themeColor="background1"/>
              </w:rPr>
              <w:t>a</w:t>
            </w:r>
            <w:r w:rsidRPr="11284B68">
              <w:rPr>
                <w:color w:val="FFFFFF" w:themeColor="background1"/>
              </w:rPr>
              <w:t>rchives</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text1" w:themeFillTint="7F"/>
            <w:vAlign w:val="center"/>
          </w:tcPr>
          <w:p w:rsidR="00224406" w:rsidRPr="00E9490D" w:rsidRDefault="00224406" w:rsidP="00987BCA">
            <w:pPr>
              <w:pStyle w:val="TableTextHeading"/>
              <w:jc w:val="left"/>
              <w:rPr>
                <w:color w:val="FFFFFF" w:themeColor="background1"/>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text1" w:themeFillTint="7F"/>
            <w:vAlign w:val="center"/>
          </w:tcPr>
          <w:p w:rsidR="00224406" w:rsidRPr="00E9490D" w:rsidRDefault="00224406" w:rsidP="00987BCA">
            <w:pPr>
              <w:pStyle w:val="TableTextHeading"/>
              <w:jc w:val="left"/>
              <w:rPr>
                <w:color w:val="FFFFFF" w:themeColor="background1"/>
              </w:rPr>
            </w:pPr>
          </w:p>
        </w:tc>
      </w:tr>
      <w:tr w:rsidR="00224406" w:rsidRPr="00246DD9" w:rsidTr="00987BCA">
        <w:trPr>
          <w:gridAfter w:val="1"/>
          <w:wAfter w:w="65" w:type="dxa"/>
        </w:trPr>
        <w:tc>
          <w:tcPr>
            <w:tcW w:w="7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224406" w:rsidRPr="006E3426" w:rsidRDefault="00224406" w:rsidP="00987BCA">
            <w:pPr>
              <w:pStyle w:val="TableTextBold"/>
            </w:pPr>
            <w:r>
              <w:t>Effectiveness measures</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224406" w:rsidRPr="00994A8B" w:rsidRDefault="00224406" w:rsidP="00987BCA">
            <w:pPr>
              <w:pStyle w:val="TableTextRight"/>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224406" w:rsidRDefault="00224406" w:rsidP="00987BCA">
            <w:pPr>
              <w:pStyle w:val="TableTextRight"/>
            </w:pPr>
          </w:p>
        </w:tc>
      </w:tr>
      <w:tr w:rsidR="00224406" w:rsidRPr="00E9490D" w:rsidTr="00987BCA">
        <w:trPr>
          <w:gridAfter w:val="1"/>
          <w:wAfter w:w="65" w:type="dxa"/>
        </w:trPr>
        <w:tc>
          <w:tcPr>
            <w:tcW w:w="7180" w:type="dxa"/>
            <w:tcBorders>
              <w:top w:val="single" w:sz="4" w:space="0" w:color="000000" w:themeColor="text1"/>
              <w:left w:val="single" w:sz="4" w:space="0" w:color="000000" w:themeColor="text1"/>
              <w:bottom w:val="nil"/>
              <w:right w:val="single" w:sz="4" w:space="0" w:color="000000" w:themeColor="text1"/>
            </w:tcBorders>
          </w:tcPr>
          <w:p w:rsidR="00224406" w:rsidRPr="00D63662" w:rsidRDefault="00224406" w:rsidP="00987BCA">
            <w:pPr>
              <w:pStyle w:val="TableText"/>
              <w:rPr>
                <w:rFonts w:eastAsia="Arial" w:cs="Arial"/>
              </w:rPr>
            </w:pPr>
            <w:r w:rsidRPr="00AF05E5">
              <w:t>Overall customer satisfaction with Queensland State Archives</w:t>
            </w:r>
            <w:r>
              <w:t>’</w:t>
            </w:r>
            <w:r w:rsidRPr="00AF05E5">
              <w:t xml:space="preserve"> delivery of services to the public</w:t>
            </w:r>
          </w:p>
        </w:tc>
        <w:tc>
          <w:tcPr>
            <w:tcW w:w="1409" w:type="dxa"/>
            <w:tcBorders>
              <w:top w:val="single" w:sz="4" w:space="0" w:color="000000" w:themeColor="text1"/>
              <w:left w:val="single" w:sz="4" w:space="0" w:color="000000" w:themeColor="text1"/>
              <w:bottom w:val="nil"/>
              <w:right w:val="single" w:sz="4" w:space="0" w:color="000000" w:themeColor="text1"/>
            </w:tcBorders>
          </w:tcPr>
          <w:p w:rsidR="00224406" w:rsidRPr="00D63662" w:rsidRDefault="001224D0" w:rsidP="00987BCA">
            <w:pPr>
              <w:pStyle w:val="TableText"/>
              <w:jc w:val="right"/>
              <w:rPr>
                <w:rFonts w:eastAsia="Arial" w:cs="Arial"/>
              </w:rPr>
            </w:pPr>
            <w:r>
              <w:rPr>
                <w:rFonts w:eastAsia="Arial" w:cs="Arial"/>
              </w:rPr>
              <w:t>N/A</w:t>
            </w:r>
          </w:p>
        </w:tc>
        <w:tc>
          <w:tcPr>
            <w:tcW w:w="1243" w:type="dxa"/>
            <w:tcBorders>
              <w:top w:val="single" w:sz="4" w:space="0" w:color="000000" w:themeColor="text1"/>
              <w:left w:val="single" w:sz="4" w:space="0" w:color="000000" w:themeColor="text1"/>
              <w:bottom w:val="nil"/>
              <w:right w:val="single" w:sz="4" w:space="0" w:color="000000" w:themeColor="text1"/>
            </w:tcBorders>
          </w:tcPr>
          <w:p w:rsidR="00224406" w:rsidRPr="00D63662" w:rsidRDefault="001224D0" w:rsidP="00987BCA">
            <w:pPr>
              <w:pStyle w:val="TableText"/>
              <w:jc w:val="right"/>
              <w:rPr>
                <w:rFonts w:eastAsia="Arial" w:cs="Arial"/>
              </w:rPr>
            </w:pPr>
            <w:r>
              <w:rPr>
                <w:rFonts w:eastAsia="Arial" w:cs="Arial"/>
              </w:rPr>
              <w:t>N/A</w:t>
            </w:r>
          </w:p>
        </w:tc>
      </w:tr>
      <w:tr w:rsidR="00224406" w:rsidRPr="00E9490D" w:rsidTr="00987BCA">
        <w:trPr>
          <w:gridAfter w:val="1"/>
          <w:wAfter w:w="65" w:type="dxa"/>
        </w:trPr>
        <w:tc>
          <w:tcPr>
            <w:tcW w:w="7180" w:type="dxa"/>
            <w:tcBorders>
              <w:top w:val="nil"/>
              <w:left w:val="single" w:sz="4" w:space="0" w:color="000000" w:themeColor="text1"/>
              <w:bottom w:val="single" w:sz="4" w:space="0" w:color="000000" w:themeColor="text1"/>
              <w:right w:val="single" w:sz="4" w:space="0" w:color="000000" w:themeColor="text1"/>
            </w:tcBorders>
          </w:tcPr>
          <w:p w:rsidR="00224406" w:rsidRPr="001224D0" w:rsidRDefault="001224D0" w:rsidP="001224D0">
            <w:pPr>
              <w:pStyle w:val="TableText"/>
              <w:rPr>
                <w:rFonts w:eastAsiaTheme="minorEastAsia" w:cs="MetaNormalLF-Italic"/>
                <w:color w:val="000000"/>
                <w:sz w:val="14"/>
                <w:szCs w:val="14"/>
              </w:rPr>
            </w:pPr>
            <w:r w:rsidRPr="001224D0">
              <w:rPr>
                <w:rFonts w:ascii="Arial Narrow" w:eastAsia="Arial Narrow" w:hAnsi="Arial Narrow" w:cs="Arial Narrow"/>
                <w:i/>
                <w:iCs/>
                <w:sz w:val="16"/>
                <w:szCs w:val="16"/>
              </w:rPr>
              <w:t>This service standard is based on a biennial customer satisfaction survey conducted for Queensland State Archives (QSA), with the next survey to be conducted in 2019.</w:t>
            </w:r>
            <w:r>
              <w:rPr>
                <w:rFonts w:cs="MetaNormalLF-Italic"/>
                <w:color w:val="000000"/>
                <w:sz w:val="14"/>
                <w:szCs w:val="14"/>
              </w:rPr>
              <w:t xml:space="preserve"> </w:t>
            </w:r>
          </w:p>
        </w:tc>
        <w:tc>
          <w:tcPr>
            <w:tcW w:w="1409" w:type="dxa"/>
            <w:tcBorders>
              <w:top w:val="nil"/>
              <w:left w:val="single" w:sz="4" w:space="0" w:color="000000" w:themeColor="text1"/>
              <w:bottom w:val="single" w:sz="4" w:space="0" w:color="000000" w:themeColor="text1"/>
              <w:right w:val="single" w:sz="4" w:space="0" w:color="000000" w:themeColor="text1"/>
            </w:tcBorders>
          </w:tcPr>
          <w:p w:rsidR="00224406" w:rsidRPr="00E9490D" w:rsidRDefault="00224406" w:rsidP="00987BCA">
            <w:pPr>
              <w:pStyle w:val="TableText"/>
              <w:jc w:val="right"/>
              <w:rPr>
                <w:rFonts w:cs="Arial"/>
                <w:szCs w:val="19"/>
              </w:rPr>
            </w:pPr>
          </w:p>
        </w:tc>
        <w:tc>
          <w:tcPr>
            <w:tcW w:w="1243" w:type="dxa"/>
            <w:tcBorders>
              <w:top w:val="nil"/>
              <w:left w:val="single" w:sz="4" w:space="0" w:color="000000" w:themeColor="text1"/>
              <w:bottom w:val="single" w:sz="4" w:space="0" w:color="000000" w:themeColor="text1"/>
              <w:right w:val="single" w:sz="4" w:space="0" w:color="000000" w:themeColor="text1"/>
            </w:tcBorders>
          </w:tcPr>
          <w:p w:rsidR="00224406" w:rsidRPr="00E9490D" w:rsidRDefault="00224406" w:rsidP="00987BCA">
            <w:pPr>
              <w:pStyle w:val="TableText"/>
              <w:jc w:val="right"/>
              <w:rPr>
                <w:rFonts w:cs="Arial"/>
                <w:szCs w:val="19"/>
              </w:rPr>
            </w:pPr>
          </w:p>
        </w:tc>
      </w:tr>
      <w:tr w:rsidR="00224406" w:rsidRPr="00E9490D" w:rsidTr="00987BCA">
        <w:trPr>
          <w:gridAfter w:val="1"/>
          <w:wAfter w:w="65" w:type="dxa"/>
        </w:trPr>
        <w:tc>
          <w:tcPr>
            <w:tcW w:w="7180" w:type="dxa"/>
            <w:tcBorders>
              <w:top w:val="single" w:sz="4" w:space="0" w:color="000000" w:themeColor="text1"/>
              <w:left w:val="single" w:sz="4" w:space="0" w:color="000000" w:themeColor="text1"/>
              <w:bottom w:val="nil"/>
              <w:right w:val="single" w:sz="4" w:space="0" w:color="000000" w:themeColor="text1"/>
            </w:tcBorders>
          </w:tcPr>
          <w:p w:rsidR="00224406" w:rsidRPr="00D63662" w:rsidRDefault="00224406" w:rsidP="00987BCA">
            <w:pPr>
              <w:pStyle w:val="TableText"/>
              <w:rPr>
                <w:rFonts w:eastAsia="Arial" w:cs="Arial"/>
              </w:rPr>
            </w:pPr>
            <w:r w:rsidRPr="00AF05E5">
              <w:t>Percentage of clients satisfied with the services provided by Queensland State Archives</w:t>
            </w:r>
          </w:p>
        </w:tc>
        <w:tc>
          <w:tcPr>
            <w:tcW w:w="1409" w:type="dxa"/>
            <w:tcBorders>
              <w:top w:val="single" w:sz="4" w:space="0" w:color="000000" w:themeColor="text1"/>
              <w:left w:val="single" w:sz="4" w:space="0" w:color="000000" w:themeColor="text1"/>
              <w:bottom w:val="nil"/>
              <w:right w:val="single" w:sz="4" w:space="0" w:color="000000" w:themeColor="text1"/>
            </w:tcBorders>
          </w:tcPr>
          <w:p w:rsidR="00224406" w:rsidRPr="00D63662" w:rsidRDefault="00224406" w:rsidP="00987BCA">
            <w:pPr>
              <w:pStyle w:val="TableText"/>
              <w:jc w:val="right"/>
              <w:rPr>
                <w:rFonts w:eastAsia="Arial" w:cs="Arial"/>
              </w:rPr>
            </w:pPr>
            <w:r w:rsidRPr="00AF05E5">
              <w:t xml:space="preserve">≥80% </w:t>
            </w:r>
          </w:p>
        </w:tc>
        <w:tc>
          <w:tcPr>
            <w:tcW w:w="1243" w:type="dxa"/>
            <w:tcBorders>
              <w:top w:val="single" w:sz="4" w:space="0" w:color="000000" w:themeColor="text1"/>
              <w:left w:val="single" w:sz="4" w:space="0" w:color="000000" w:themeColor="text1"/>
              <w:bottom w:val="nil"/>
              <w:right w:val="single" w:sz="4" w:space="0" w:color="000000" w:themeColor="text1"/>
            </w:tcBorders>
          </w:tcPr>
          <w:p w:rsidR="00224406" w:rsidRPr="00D63662" w:rsidRDefault="00224406" w:rsidP="00987BCA">
            <w:pPr>
              <w:pStyle w:val="TableText"/>
              <w:jc w:val="right"/>
              <w:rPr>
                <w:rFonts w:eastAsia="Arial" w:cs="Arial"/>
              </w:rPr>
            </w:pPr>
            <w:r w:rsidRPr="00AF05E5">
              <w:t>78%</w:t>
            </w:r>
          </w:p>
        </w:tc>
      </w:tr>
      <w:tr w:rsidR="00224406" w:rsidRPr="00E9490D" w:rsidTr="00987BCA">
        <w:trPr>
          <w:gridAfter w:val="1"/>
          <w:wAfter w:w="65" w:type="dxa"/>
        </w:trPr>
        <w:tc>
          <w:tcPr>
            <w:tcW w:w="7180" w:type="dxa"/>
            <w:shd w:val="clear" w:color="auto" w:fill="D9D9D9" w:themeFill="background1" w:themeFillShade="D9"/>
          </w:tcPr>
          <w:p w:rsidR="00224406" w:rsidRPr="00E9490D" w:rsidRDefault="00224406" w:rsidP="00987BCA">
            <w:pPr>
              <w:pStyle w:val="TableTextBold"/>
            </w:pPr>
            <w:r w:rsidRPr="00E9490D">
              <w:t>Efficiency measure</w:t>
            </w:r>
            <w:r w:rsidR="00D250FD">
              <w:t>s</w:t>
            </w:r>
          </w:p>
        </w:tc>
        <w:tc>
          <w:tcPr>
            <w:tcW w:w="1409" w:type="dxa"/>
            <w:shd w:val="clear" w:color="auto" w:fill="D9D9D9" w:themeFill="background1" w:themeFillShade="D9"/>
          </w:tcPr>
          <w:p w:rsidR="00224406" w:rsidRPr="00246DD9" w:rsidRDefault="00224406" w:rsidP="00987BCA">
            <w:pPr>
              <w:pStyle w:val="TableTextBold"/>
            </w:pPr>
          </w:p>
        </w:tc>
        <w:tc>
          <w:tcPr>
            <w:tcW w:w="1243" w:type="dxa"/>
            <w:shd w:val="clear" w:color="auto" w:fill="D9D9D9" w:themeFill="background1" w:themeFillShade="D9"/>
          </w:tcPr>
          <w:p w:rsidR="00224406" w:rsidRPr="00246DD9" w:rsidRDefault="00224406" w:rsidP="00987BCA">
            <w:pPr>
              <w:pStyle w:val="TableTextBold"/>
            </w:pPr>
          </w:p>
        </w:tc>
      </w:tr>
      <w:tr w:rsidR="00224406" w:rsidRPr="00E9490D" w:rsidTr="00987BCA">
        <w:trPr>
          <w:gridAfter w:val="1"/>
          <w:wAfter w:w="65" w:type="dxa"/>
        </w:trPr>
        <w:tc>
          <w:tcPr>
            <w:tcW w:w="7180" w:type="dxa"/>
            <w:tcBorders>
              <w:top w:val="single" w:sz="4" w:space="0" w:color="000000" w:themeColor="text1"/>
              <w:left w:val="single" w:sz="4" w:space="0" w:color="000000" w:themeColor="text1"/>
              <w:bottom w:val="nil"/>
              <w:right w:val="single" w:sz="4" w:space="0" w:color="000000" w:themeColor="text1"/>
            </w:tcBorders>
          </w:tcPr>
          <w:p w:rsidR="00224406" w:rsidRPr="00D63662" w:rsidRDefault="00224406" w:rsidP="00987BCA">
            <w:pPr>
              <w:pStyle w:val="TableText"/>
              <w:rPr>
                <w:rFonts w:eastAsia="Arial" w:cs="Arial"/>
              </w:rPr>
            </w:pPr>
            <w:r w:rsidRPr="00AF05E5">
              <w:t>Average cost to Queensland State Archives per record accessed</w:t>
            </w:r>
          </w:p>
        </w:tc>
        <w:tc>
          <w:tcPr>
            <w:tcW w:w="1409" w:type="dxa"/>
            <w:tcBorders>
              <w:top w:val="single" w:sz="4" w:space="0" w:color="000000" w:themeColor="text1"/>
              <w:left w:val="single" w:sz="4" w:space="0" w:color="000000" w:themeColor="text1"/>
              <w:bottom w:val="nil"/>
              <w:right w:val="single" w:sz="4" w:space="0" w:color="000000" w:themeColor="text1"/>
            </w:tcBorders>
          </w:tcPr>
          <w:p w:rsidR="00224406" w:rsidRPr="00D63662" w:rsidRDefault="00224406" w:rsidP="00987BCA">
            <w:pPr>
              <w:pStyle w:val="TableText"/>
              <w:jc w:val="right"/>
              <w:rPr>
                <w:rFonts w:eastAsia="Arial" w:cs="Arial"/>
              </w:rPr>
            </w:pPr>
            <w:r w:rsidRPr="00AF05E5">
              <w:t xml:space="preserve">$10.00 </w:t>
            </w:r>
          </w:p>
        </w:tc>
        <w:tc>
          <w:tcPr>
            <w:tcW w:w="1243" w:type="dxa"/>
            <w:tcBorders>
              <w:top w:val="single" w:sz="4" w:space="0" w:color="000000" w:themeColor="text1"/>
              <w:left w:val="single" w:sz="4" w:space="0" w:color="000000" w:themeColor="text1"/>
              <w:bottom w:val="nil"/>
              <w:right w:val="single" w:sz="4" w:space="0" w:color="000000" w:themeColor="text1"/>
            </w:tcBorders>
          </w:tcPr>
          <w:p w:rsidR="00224406" w:rsidRPr="00D63662" w:rsidRDefault="00224406" w:rsidP="00987BCA">
            <w:pPr>
              <w:pStyle w:val="TableText"/>
              <w:jc w:val="right"/>
              <w:rPr>
                <w:rFonts w:eastAsia="Arial" w:cs="Arial"/>
              </w:rPr>
            </w:pPr>
            <w:r w:rsidRPr="00AF05E5">
              <w:t>$4.</w:t>
            </w:r>
            <w:r>
              <w:t>07</w:t>
            </w:r>
          </w:p>
        </w:tc>
      </w:tr>
      <w:tr w:rsidR="00224406" w:rsidRPr="00E9490D" w:rsidTr="00987BCA">
        <w:trPr>
          <w:gridAfter w:val="1"/>
          <w:wAfter w:w="65" w:type="dxa"/>
        </w:trPr>
        <w:tc>
          <w:tcPr>
            <w:tcW w:w="7180" w:type="dxa"/>
            <w:tcBorders>
              <w:top w:val="nil"/>
              <w:left w:val="single" w:sz="4" w:space="0" w:color="000000" w:themeColor="text1"/>
              <w:bottom w:val="single" w:sz="4" w:space="0" w:color="000000" w:themeColor="text1"/>
              <w:right w:val="single" w:sz="4" w:space="0" w:color="000000" w:themeColor="text1"/>
            </w:tcBorders>
          </w:tcPr>
          <w:p w:rsidR="00224406" w:rsidRPr="001224D0" w:rsidRDefault="001224D0" w:rsidP="001224D0">
            <w:pPr>
              <w:pStyle w:val="TableText"/>
              <w:rPr>
                <w:rFonts w:ascii="Arial Narrow" w:eastAsia="Arial Narrow" w:hAnsi="Arial Narrow" w:cs="Arial Narrow"/>
                <w:i/>
                <w:iCs/>
                <w:sz w:val="16"/>
                <w:szCs w:val="16"/>
              </w:rPr>
            </w:pPr>
            <w:r w:rsidRPr="001224D0">
              <w:rPr>
                <w:rFonts w:ascii="Arial Narrow" w:eastAsia="Arial Narrow" w:hAnsi="Arial Narrow" w:cs="Arial Narrow"/>
                <w:i/>
                <w:iCs/>
                <w:sz w:val="16"/>
                <w:szCs w:val="16"/>
              </w:rPr>
              <w:t xml:space="preserve">The variance between 2017–18 Target/Estimate and 2017-18 Actual reflects the success of Queensland State Archives’ focus on digital access channels. The number of records accessed digitally grew by more than 60% in 2017–18. </w:t>
            </w:r>
          </w:p>
        </w:tc>
        <w:tc>
          <w:tcPr>
            <w:tcW w:w="1409" w:type="dxa"/>
            <w:tcBorders>
              <w:top w:val="nil"/>
              <w:left w:val="single" w:sz="4" w:space="0" w:color="000000" w:themeColor="text1"/>
              <w:bottom w:val="single" w:sz="4" w:space="0" w:color="000000" w:themeColor="text1"/>
              <w:right w:val="single" w:sz="4" w:space="0" w:color="000000" w:themeColor="text1"/>
            </w:tcBorders>
          </w:tcPr>
          <w:p w:rsidR="00224406" w:rsidRDefault="00224406" w:rsidP="00987BCA">
            <w:pPr>
              <w:pStyle w:val="TableText"/>
              <w:jc w:val="right"/>
              <w:rPr>
                <w:rFonts w:cs="Arial"/>
                <w:szCs w:val="19"/>
              </w:rPr>
            </w:pPr>
          </w:p>
        </w:tc>
        <w:tc>
          <w:tcPr>
            <w:tcW w:w="1243" w:type="dxa"/>
            <w:tcBorders>
              <w:top w:val="nil"/>
              <w:left w:val="single" w:sz="4" w:space="0" w:color="000000" w:themeColor="text1"/>
              <w:bottom w:val="single" w:sz="4" w:space="0" w:color="000000" w:themeColor="text1"/>
              <w:right w:val="single" w:sz="4" w:space="0" w:color="000000" w:themeColor="text1"/>
            </w:tcBorders>
          </w:tcPr>
          <w:p w:rsidR="00224406" w:rsidRDefault="00224406" w:rsidP="00987BCA">
            <w:pPr>
              <w:pStyle w:val="TableText"/>
              <w:jc w:val="right"/>
              <w:rPr>
                <w:rFonts w:cs="Arial"/>
                <w:szCs w:val="19"/>
              </w:rPr>
            </w:pPr>
          </w:p>
        </w:tc>
      </w:tr>
      <w:tr w:rsidR="00224406" w:rsidRPr="00E9490D" w:rsidTr="00987BCA">
        <w:trPr>
          <w:gridAfter w:val="1"/>
          <w:wAfter w:w="65" w:type="dxa"/>
        </w:trPr>
        <w:tc>
          <w:tcPr>
            <w:tcW w:w="7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text1" w:themeFillTint="7F"/>
            <w:vAlign w:val="center"/>
          </w:tcPr>
          <w:p w:rsidR="00224406" w:rsidRPr="001224D0" w:rsidRDefault="00224406" w:rsidP="001224D0">
            <w:pPr>
              <w:pStyle w:val="TableText"/>
              <w:rPr>
                <w:rFonts w:ascii="Arial Narrow" w:eastAsia="Arial Narrow" w:hAnsi="Arial Narrow" w:cs="Arial Narrow"/>
                <w:i/>
                <w:iCs/>
                <w:sz w:val="16"/>
                <w:szCs w:val="16"/>
              </w:rPr>
            </w:pPr>
            <w:r w:rsidRPr="001224D0">
              <w:rPr>
                <w:rFonts w:ascii="Arial Narrow" w:eastAsia="Arial Narrow" w:hAnsi="Arial Narrow" w:cs="Arial Narrow"/>
                <w:i/>
                <w:iCs/>
                <w:sz w:val="16"/>
                <w:szCs w:val="16"/>
              </w:rPr>
              <w:t>Service: Digital economy3</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text1" w:themeFillTint="7F"/>
            <w:vAlign w:val="center"/>
          </w:tcPr>
          <w:p w:rsidR="00224406" w:rsidRPr="00E9490D" w:rsidRDefault="00224406" w:rsidP="00987BCA">
            <w:pPr>
              <w:pStyle w:val="TableTextHeading"/>
              <w:jc w:val="left"/>
              <w:rPr>
                <w:color w:val="FFFFFF" w:themeColor="background1"/>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text1" w:themeFillTint="7F"/>
            <w:vAlign w:val="center"/>
          </w:tcPr>
          <w:p w:rsidR="00224406" w:rsidRPr="00E9490D" w:rsidRDefault="00224406" w:rsidP="00987BCA">
            <w:pPr>
              <w:pStyle w:val="TableTextHeading"/>
              <w:jc w:val="left"/>
              <w:rPr>
                <w:color w:val="FFFFFF" w:themeColor="background1"/>
              </w:rPr>
            </w:pPr>
          </w:p>
        </w:tc>
      </w:tr>
      <w:tr w:rsidR="00224406" w:rsidRPr="00246DD9" w:rsidTr="00987BCA">
        <w:trPr>
          <w:gridAfter w:val="1"/>
          <w:wAfter w:w="65" w:type="dxa"/>
        </w:trPr>
        <w:tc>
          <w:tcPr>
            <w:tcW w:w="7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224406" w:rsidRPr="006E3426" w:rsidRDefault="00224406" w:rsidP="00987BCA">
            <w:pPr>
              <w:pStyle w:val="TableTextBold"/>
            </w:pPr>
            <w:r>
              <w:t>Effectiveness measures</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224406" w:rsidRPr="00994A8B" w:rsidRDefault="00224406" w:rsidP="00987BCA">
            <w:pPr>
              <w:pStyle w:val="TableTextRight"/>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224406" w:rsidRDefault="00224406" w:rsidP="00987BCA">
            <w:pPr>
              <w:pStyle w:val="TableTextRight"/>
            </w:pPr>
          </w:p>
        </w:tc>
      </w:tr>
      <w:tr w:rsidR="00224406" w:rsidRPr="00246DD9" w:rsidTr="00987BCA">
        <w:trPr>
          <w:gridAfter w:val="1"/>
          <w:wAfter w:w="65" w:type="dxa"/>
        </w:trPr>
        <w:tc>
          <w:tcPr>
            <w:tcW w:w="7180" w:type="dxa"/>
            <w:tcBorders>
              <w:top w:val="single" w:sz="4" w:space="0" w:color="000000" w:themeColor="text1"/>
              <w:left w:val="single" w:sz="4" w:space="0" w:color="000000" w:themeColor="text1"/>
              <w:bottom w:val="nil"/>
              <w:right w:val="single" w:sz="4" w:space="0" w:color="000000" w:themeColor="text1"/>
            </w:tcBorders>
          </w:tcPr>
          <w:p w:rsidR="00224406" w:rsidRPr="00D63662" w:rsidRDefault="00224406" w:rsidP="00987BCA">
            <w:pPr>
              <w:pStyle w:val="TableText"/>
              <w:rPr>
                <w:rFonts w:eastAsia="Arial" w:cs="Arial"/>
              </w:rPr>
            </w:pPr>
            <w:r w:rsidRPr="00AF05E5">
              <w:t>Proportion of stakeholders who are satisfied with digital capability development services, consultative and engagement processes  </w:t>
            </w:r>
          </w:p>
        </w:tc>
        <w:tc>
          <w:tcPr>
            <w:tcW w:w="1409" w:type="dxa"/>
            <w:tcBorders>
              <w:top w:val="single" w:sz="4" w:space="0" w:color="000000" w:themeColor="text1"/>
              <w:left w:val="single" w:sz="4" w:space="0" w:color="000000" w:themeColor="text1"/>
              <w:bottom w:val="nil"/>
              <w:right w:val="single" w:sz="4" w:space="0" w:color="000000" w:themeColor="text1"/>
            </w:tcBorders>
          </w:tcPr>
          <w:p w:rsidR="00224406" w:rsidRPr="00246DD9" w:rsidRDefault="00224406" w:rsidP="00987BCA">
            <w:pPr>
              <w:pStyle w:val="TableTextRight"/>
            </w:pPr>
            <w:r w:rsidRPr="00AF05E5">
              <w:t>≥8</w:t>
            </w:r>
            <w:r w:rsidR="001224D0">
              <w:t>4</w:t>
            </w:r>
            <w:r w:rsidRPr="00AF05E5">
              <w:t>%</w:t>
            </w:r>
          </w:p>
        </w:tc>
        <w:tc>
          <w:tcPr>
            <w:tcW w:w="1243" w:type="dxa"/>
            <w:tcBorders>
              <w:top w:val="single" w:sz="4" w:space="0" w:color="000000" w:themeColor="text1"/>
              <w:left w:val="single" w:sz="4" w:space="0" w:color="000000" w:themeColor="text1"/>
              <w:bottom w:val="nil"/>
              <w:right w:val="single" w:sz="4" w:space="0" w:color="000000" w:themeColor="text1"/>
            </w:tcBorders>
          </w:tcPr>
          <w:p w:rsidR="00224406" w:rsidRPr="00246DD9" w:rsidRDefault="00224406" w:rsidP="00987BCA">
            <w:pPr>
              <w:pStyle w:val="TableTextRight"/>
            </w:pPr>
            <w:r w:rsidRPr="00AF05E5">
              <w:t>84%</w:t>
            </w:r>
          </w:p>
        </w:tc>
      </w:tr>
      <w:tr w:rsidR="00224406" w:rsidRPr="00E9490D" w:rsidTr="00987BCA">
        <w:trPr>
          <w:gridAfter w:val="1"/>
          <w:wAfter w:w="65" w:type="dxa"/>
        </w:trPr>
        <w:tc>
          <w:tcPr>
            <w:tcW w:w="7180" w:type="dxa"/>
            <w:tcBorders>
              <w:top w:val="nil"/>
              <w:left w:val="single" w:sz="4" w:space="0" w:color="000000" w:themeColor="text1"/>
              <w:bottom w:val="single" w:sz="4" w:space="0" w:color="000000" w:themeColor="text1"/>
              <w:right w:val="single" w:sz="4" w:space="0" w:color="000000" w:themeColor="text1"/>
            </w:tcBorders>
          </w:tcPr>
          <w:p w:rsidR="00224406" w:rsidRPr="001224D0" w:rsidRDefault="001224D0" w:rsidP="001224D0">
            <w:pPr>
              <w:pStyle w:val="TableText"/>
              <w:rPr>
                <w:rFonts w:eastAsiaTheme="minorEastAsia" w:cs="MetaNormalLF-Italic"/>
                <w:color w:val="000000"/>
                <w:sz w:val="14"/>
                <w:szCs w:val="14"/>
              </w:rPr>
            </w:pPr>
            <w:r w:rsidRPr="001224D0">
              <w:rPr>
                <w:rFonts w:ascii="Arial Narrow" w:eastAsia="Arial Narrow" w:hAnsi="Arial Narrow" w:cs="Arial Narrow"/>
                <w:i/>
                <w:iCs/>
                <w:sz w:val="16"/>
                <w:szCs w:val="16"/>
              </w:rPr>
              <w:t>This new service ‘Digital Economy’ has been established to reflect the transfer of the digital economy function from the (former) Department of Science, Information Technology and Innovation (‘Advancing Queensland through Innovation’ service area) following machinery-of government changes.</w:t>
            </w:r>
            <w:r>
              <w:rPr>
                <w:rFonts w:cs="MetaNormalLF-Italic"/>
                <w:color w:val="000000"/>
                <w:sz w:val="14"/>
                <w:szCs w:val="14"/>
              </w:rPr>
              <w:t xml:space="preserve"> </w:t>
            </w:r>
          </w:p>
        </w:tc>
        <w:tc>
          <w:tcPr>
            <w:tcW w:w="1409" w:type="dxa"/>
            <w:tcBorders>
              <w:top w:val="nil"/>
              <w:left w:val="single" w:sz="4" w:space="0" w:color="000000" w:themeColor="text1"/>
              <w:bottom w:val="single" w:sz="4" w:space="0" w:color="000000" w:themeColor="text1"/>
              <w:right w:val="single" w:sz="4" w:space="0" w:color="000000" w:themeColor="text1"/>
            </w:tcBorders>
          </w:tcPr>
          <w:p w:rsidR="00224406" w:rsidRDefault="00224406" w:rsidP="00987BCA">
            <w:pPr>
              <w:pStyle w:val="TableText"/>
              <w:jc w:val="right"/>
              <w:rPr>
                <w:rFonts w:cs="Arial"/>
                <w:szCs w:val="19"/>
              </w:rPr>
            </w:pPr>
          </w:p>
        </w:tc>
        <w:tc>
          <w:tcPr>
            <w:tcW w:w="1243" w:type="dxa"/>
            <w:tcBorders>
              <w:top w:val="nil"/>
              <w:left w:val="single" w:sz="4" w:space="0" w:color="000000" w:themeColor="text1"/>
              <w:bottom w:val="single" w:sz="4" w:space="0" w:color="000000" w:themeColor="text1"/>
              <w:right w:val="single" w:sz="4" w:space="0" w:color="000000" w:themeColor="text1"/>
            </w:tcBorders>
          </w:tcPr>
          <w:p w:rsidR="00224406" w:rsidRDefault="00224406" w:rsidP="00987BCA">
            <w:pPr>
              <w:pStyle w:val="TableText"/>
              <w:jc w:val="right"/>
              <w:rPr>
                <w:rFonts w:cs="Arial"/>
                <w:szCs w:val="19"/>
              </w:rPr>
            </w:pPr>
          </w:p>
        </w:tc>
      </w:tr>
      <w:tr w:rsidR="00224406" w:rsidRPr="00E9490D" w:rsidTr="00987BCA">
        <w:trPr>
          <w:gridAfter w:val="1"/>
          <w:wAfter w:w="65" w:type="dxa"/>
        </w:trPr>
        <w:tc>
          <w:tcPr>
            <w:tcW w:w="7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text1" w:themeFillTint="7F"/>
            <w:vAlign w:val="center"/>
          </w:tcPr>
          <w:p w:rsidR="00224406" w:rsidRPr="0045712C" w:rsidRDefault="00224406" w:rsidP="00987BCA">
            <w:pPr>
              <w:pStyle w:val="TableTextHeading"/>
              <w:jc w:val="left"/>
              <w:rPr>
                <w:color w:val="FFFFFF" w:themeColor="background1"/>
                <w:vertAlign w:val="superscript"/>
              </w:rPr>
            </w:pPr>
            <w:r w:rsidRPr="11284B68">
              <w:rPr>
                <w:color w:val="FFFFFF" w:themeColor="background1"/>
              </w:rPr>
              <w:t>Service: Open Data</w:t>
            </w:r>
            <w:r w:rsidRPr="11284B68">
              <w:rPr>
                <w:color w:val="FFFFFF" w:themeColor="background1"/>
                <w:vertAlign w:val="superscript"/>
              </w:rPr>
              <w:t>4</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text1" w:themeFillTint="7F"/>
            <w:vAlign w:val="center"/>
          </w:tcPr>
          <w:p w:rsidR="00224406" w:rsidRPr="00E9490D" w:rsidRDefault="00224406" w:rsidP="00987BCA">
            <w:pPr>
              <w:pStyle w:val="TableTextHeading"/>
              <w:jc w:val="left"/>
              <w:rPr>
                <w:color w:val="FFFFFF" w:themeColor="background1"/>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text1" w:themeFillTint="7F"/>
            <w:vAlign w:val="center"/>
          </w:tcPr>
          <w:p w:rsidR="00224406" w:rsidRPr="00E9490D" w:rsidRDefault="00224406" w:rsidP="00987BCA">
            <w:pPr>
              <w:pStyle w:val="TableTextHeading"/>
              <w:jc w:val="left"/>
              <w:rPr>
                <w:color w:val="FFFFFF" w:themeColor="background1"/>
              </w:rPr>
            </w:pPr>
          </w:p>
        </w:tc>
      </w:tr>
      <w:tr w:rsidR="00224406" w:rsidRPr="00246DD9" w:rsidTr="00987BCA">
        <w:trPr>
          <w:gridAfter w:val="1"/>
          <w:wAfter w:w="65" w:type="dxa"/>
        </w:trPr>
        <w:tc>
          <w:tcPr>
            <w:tcW w:w="7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224406" w:rsidRPr="006E3426" w:rsidRDefault="00224406" w:rsidP="00987BCA">
            <w:pPr>
              <w:pStyle w:val="TableTextBold"/>
            </w:pPr>
            <w:r>
              <w:lastRenderedPageBreak/>
              <w:t>Effectiveness measures</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224406" w:rsidRPr="00994A8B" w:rsidRDefault="00224406" w:rsidP="00987BCA">
            <w:pPr>
              <w:pStyle w:val="TableTextRight"/>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224406" w:rsidRDefault="00224406" w:rsidP="00987BCA">
            <w:pPr>
              <w:pStyle w:val="TableTextRight"/>
            </w:pPr>
          </w:p>
        </w:tc>
      </w:tr>
      <w:tr w:rsidR="00224406" w:rsidRPr="00246DD9" w:rsidTr="00987BCA">
        <w:trPr>
          <w:gridAfter w:val="1"/>
          <w:wAfter w:w="65" w:type="dxa"/>
        </w:trPr>
        <w:tc>
          <w:tcPr>
            <w:tcW w:w="7180"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tcPr>
          <w:p w:rsidR="00224406" w:rsidRPr="001224D0" w:rsidRDefault="001224D0" w:rsidP="001224D0">
            <w:pPr>
              <w:pStyle w:val="TableText"/>
              <w:rPr>
                <w:rStyle w:val="Bold"/>
                <w:rFonts w:ascii="MetaNormalLF-Italic" w:eastAsiaTheme="minorEastAsia" w:hAnsi="MetaNormalLF-Italic" w:cs="MetaNormalLF-Italic"/>
                <w:b w:val="0"/>
                <w:color w:val="000000"/>
                <w:sz w:val="14"/>
                <w:szCs w:val="14"/>
              </w:rPr>
            </w:pPr>
            <w:r w:rsidRPr="001224D0">
              <w:rPr>
                <w:rFonts w:ascii="Arial Narrow" w:eastAsia="Arial Narrow" w:hAnsi="Arial Narrow" w:cs="Arial Narrow"/>
                <w:i/>
                <w:iCs/>
                <w:sz w:val="16"/>
                <w:szCs w:val="16"/>
              </w:rPr>
              <w:t>An effectiveness measure has been developed for this service and will be included in the 2018–19 Service Delivery Statement.</w:t>
            </w:r>
            <w:r>
              <w:rPr>
                <w:rFonts w:cs="MetaNormalLF-Italic"/>
                <w:color w:val="000000"/>
                <w:sz w:val="14"/>
                <w:szCs w:val="14"/>
              </w:rPr>
              <w:t xml:space="preserve"> </w:t>
            </w:r>
          </w:p>
        </w:tc>
        <w:tc>
          <w:tcPr>
            <w:tcW w:w="1409"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tcPr>
          <w:p w:rsidR="00224406" w:rsidRPr="00246DD9" w:rsidRDefault="00224406" w:rsidP="00987BCA">
            <w:pPr>
              <w:pStyle w:val="TableTextRight"/>
            </w:pPr>
          </w:p>
        </w:tc>
        <w:tc>
          <w:tcPr>
            <w:tcW w:w="1243"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tcPr>
          <w:p w:rsidR="00224406" w:rsidRPr="00246DD9" w:rsidRDefault="00224406" w:rsidP="00987BCA">
            <w:pPr>
              <w:pStyle w:val="TableTextRight"/>
            </w:pPr>
          </w:p>
        </w:tc>
      </w:tr>
      <w:tr w:rsidR="00224406" w:rsidRPr="00E9490D" w:rsidTr="00987BCA">
        <w:trPr>
          <w:gridAfter w:val="1"/>
          <w:wAfter w:w="65" w:type="dxa"/>
        </w:trPr>
        <w:tc>
          <w:tcPr>
            <w:tcW w:w="7180" w:type="dxa"/>
            <w:shd w:val="clear" w:color="auto" w:fill="D9D9D9" w:themeFill="background1" w:themeFillShade="D9"/>
          </w:tcPr>
          <w:p w:rsidR="00224406" w:rsidRPr="00E9490D" w:rsidRDefault="00224406" w:rsidP="00987BCA">
            <w:pPr>
              <w:pStyle w:val="TableTextBold"/>
            </w:pPr>
            <w:r w:rsidRPr="00E9490D">
              <w:t>Efficiency measure</w:t>
            </w:r>
          </w:p>
        </w:tc>
        <w:tc>
          <w:tcPr>
            <w:tcW w:w="1409" w:type="dxa"/>
            <w:shd w:val="clear" w:color="auto" w:fill="D9D9D9" w:themeFill="background1" w:themeFillShade="D9"/>
          </w:tcPr>
          <w:p w:rsidR="00224406" w:rsidRPr="00246DD9" w:rsidRDefault="00224406" w:rsidP="00987BCA">
            <w:pPr>
              <w:pStyle w:val="TableTextBold"/>
            </w:pPr>
          </w:p>
        </w:tc>
        <w:tc>
          <w:tcPr>
            <w:tcW w:w="1243" w:type="dxa"/>
            <w:shd w:val="clear" w:color="auto" w:fill="D9D9D9" w:themeFill="background1" w:themeFillShade="D9"/>
          </w:tcPr>
          <w:p w:rsidR="00224406" w:rsidRPr="00246DD9" w:rsidRDefault="00224406" w:rsidP="00987BCA">
            <w:pPr>
              <w:pStyle w:val="TableTextBold"/>
            </w:pPr>
          </w:p>
        </w:tc>
      </w:tr>
      <w:tr w:rsidR="00224406" w:rsidRPr="00674BB9" w:rsidTr="00987BCA">
        <w:trPr>
          <w:gridAfter w:val="1"/>
          <w:wAfter w:w="65" w:type="dxa"/>
        </w:trPr>
        <w:tc>
          <w:tcPr>
            <w:tcW w:w="7180" w:type="dxa"/>
          </w:tcPr>
          <w:p w:rsidR="00224406" w:rsidRPr="001224D0" w:rsidRDefault="001224D0" w:rsidP="001224D0">
            <w:pPr>
              <w:pStyle w:val="TableText"/>
              <w:rPr>
                <w:rFonts w:ascii="Arial Narrow" w:eastAsia="Arial Narrow" w:hAnsi="Arial Narrow" w:cs="Arial Narrow"/>
                <w:i/>
                <w:iCs/>
                <w:sz w:val="16"/>
                <w:szCs w:val="16"/>
              </w:rPr>
            </w:pPr>
            <w:r w:rsidRPr="001224D0">
              <w:rPr>
                <w:rFonts w:ascii="Arial Narrow" w:eastAsia="Arial Narrow" w:hAnsi="Arial Narrow" w:cs="Arial Narrow"/>
                <w:i/>
                <w:iCs/>
                <w:sz w:val="16"/>
                <w:szCs w:val="16"/>
              </w:rPr>
              <w:t xml:space="preserve">An efficiency measure is being developed for this service and will be included in a future Service Delivery Statement. </w:t>
            </w:r>
          </w:p>
        </w:tc>
        <w:tc>
          <w:tcPr>
            <w:tcW w:w="1409" w:type="dxa"/>
          </w:tcPr>
          <w:p w:rsidR="00224406" w:rsidRPr="00674BB9" w:rsidRDefault="00224406" w:rsidP="00987BCA">
            <w:pPr>
              <w:pStyle w:val="TableText"/>
              <w:rPr>
                <w:rFonts w:ascii="Arial Narrow" w:hAnsi="Arial Narrow"/>
                <w:i/>
                <w:sz w:val="16"/>
                <w:szCs w:val="16"/>
              </w:rPr>
            </w:pPr>
          </w:p>
        </w:tc>
        <w:tc>
          <w:tcPr>
            <w:tcW w:w="1243" w:type="dxa"/>
          </w:tcPr>
          <w:p w:rsidR="00224406" w:rsidRPr="00674BB9" w:rsidRDefault="00224406" w:rsidP="00987BCA">
            <w:pPr>
              <w:pStyle w:val="TableText"/>
              <w:rPr>
                <w:rFonts w:ascii="Arial Narrow" w:hAnsi="Arial Narrow"/>
                <w:i/>
                <w:sz w:val="16"/>
                <w:szCs w:val="16"/>
              </w:rPr>
            </w:pPr>
          </w:p>
        </w:tc>
      </w:tr>
    </w:tbl>
    <w:p w:rsidR="0028598A" w:rsidRPr="00C96F1A" w:rsidRDefault="00B625AF" w:rsidP="00224406">
      <w:pPr>
        <w:pStyle w:val="Heading6"/>
      </w:pPr>
      <w:r w:rsidRPr="00C96F1A">
        <w:t>Notes:</w:t>
      </w:r>
    </w:p>
    <w:p w:rsidR="001224D0" w:rsidRPr="001224D0" w:rsidRDefault="001224D0" w:rsidP="00D806AE">
      <w:pPr>
        <w:pStyle w:val="ListParagraph"/>
        <w:numPr>
          <w:ilvl w:val="0"/>
          <w:numId w:val="88"/>
        </w:numPr>
        <w:autoSpaceDE w:val="0"/>
        <w:autoSpaceDN w:val="0"/>
        <w:adjustRightInd w:val="0"/>
        <w:spacing w:after="0"/>
        <w:contextualSpacing/>
        <w:rPr>
          <w:sz w:val="16"/>
          <w:szCs w:val="16"/>
        </w:rPr>
      </w:pPr>
      <w:r w:rsidRPr="001224D0">
        <w:rPr>
          <w:sz w:val="16"/>
          <w:szCs w:val="16"/>
        </w:rPr>
        <w:t xml:space="preserve">This service area has been transferred from the (former) Department of Science, Information Technology and Innovation and was previously named ‘Services for Queenslanders’ in the 2017–18 Service Delivery Statement. </w:t>
      </w:r>
    </w:p>
    <w:p w:rsidR="001224D0" w:rsidRPr="001224D0" w:rsidRDefault="001224D0" w:rsidP="00D806AE">
      <w:pPr>
        <w:pStyle w:val="ListParagraph"/>
        <w:numPr>
          <w:ilvl w:val="0"/>
          <w:numId w:val="88"/>
        </w:numPr>
        <w:autoSpaceDE w:val="0"/>
        <w:autoSpaceDN w:val="0"/>
        <w:adjustRightInd w:val="0"/>
        <w:spacing w:after="0"/>
        <w:contextualSpacing/>
        <w:rPr>
          <w:sz w:val="16"/>
          <w:szCs w:val="16"/>
        </w:rPr>
      </w:pPr>
      <w:r w:rsidRPr="001224D0">
        <w:rPr>
          <w:sz w:val="16"/>
          <w:szCs w:val="16"/>
        </w:rPr>
        <w:t xml:space="preserve">The new service ‘Whole-of-government customer experience’, introduced for the 2018–19 Service Delivery Statement, was transferred from the (former) Department of Science, Information Technology and Innovation (‘Services for Government’ service area) following machinery-of-government changes. </w:t>
      </w:r>
    </w:p>
    <w:p w:rsidR="001224D0" w:rsidRPr="001224D0" w:rsidRDefault="001224D0" w:rsidP="00D806AE">
      <w:pPr>
        <w:pStyle w:val="ListParagraph"/>
        <w:numPr>
          <w:ilvl w:val="0"/>
          <w:numId w:val="88"/>
        </w:numPr>
        <w:autoSpaceDE w:val="0"/>
        <w:autoSpaceDN w:val="0"/>
        <w:adjustRightInd w:val="0"/>
        <w:spacing w:after="0"/>
        <w:contextualSpacing/>
        <w:rPr>
          <w:sz w:val="16"/>
          <w:szCs w:val="16"/>
        </w:rPr>
      </w:pPr>
      <w:r w:rsidRPr="001224D0">
        <w:rPr>
          <w:sz w:val="16"/>
          <w:szCs w:val="16"/>
        </w:rPr>
        <w:t xml:space="preserve">This new service ‘Digital Economy’ was established to reflect the transfer of the digital economy function from the (former) Department of Science, Information Technology and Innovation (‘Advancing Queensland through Innovation’ service area) following machinery-of government changes. </w:t>
      </w:r>
    </w:p>
    <w:p w:rsidR="0028598A" w:rsidRPr="001224D0" w:rsidRDefault="001224D0" w:rsidP="00D806AE">
      <w:pPr>
        <w:pStyle w:val="ListParagraph"/>
        <w:numPr>
          <w:ilvl w:val="0"/>
          <w:numId w:val="88"/>
        </w:numPr>
        <w:autoSpaceDE w:val="0"/>
        <w:autoSpaceDN w:val="0"/>
        <w:adjustRightInd w:val="0"/>
        <w:spacing w:after="0"/>
        <w:contextualSpacing/>
        <w:rPr>
          <w:sz w:val="16"/>
          <w:szCs w:val="16"/>
        </w:rPr>
      </w:pPr>
      <w:r w:rsidRPr="001224D0">
        <w:rPr>
          <w:sz w:val="16"/>
          <w:szCs w:val="16"/>
        </w:rPr>
        <w:t>This new service ‘Open Data’ was established to reflect the transfer of the open data function from the (former) Department of Science, Information Technology and Innovation (‘Advancing Queensland through Innovation’ service area) following machinery-of-government changes.</w:t>
      </w:r>
    </w:p>
    <w:p w:rsidR="00D250FD" w:rsidRDefault="00D250FD">
      <w:pPr>
        <w:spacing w:before="0" w:after="0"/>
        <w:rPr>
          <w:rFonts w:asciiTheme="majorHAnsi" w:eastAsiaTheme="majorEastAsia" w:hAnsiTheme="majorHAnsi" w:cstheme="majorBidi"/>
          <w:b/>
          <w:bCs/>
          <w:kern w:val="32"/>
          <w:sz w:val="40"/>
          <w:szCs w:val="32"/>
        </w:rPr>
      </w:pPr>
      <w:r>
        <w:br w:type="page"/>
      </w:r>
    </w:p>
    <w:p w:rsidR="0028598A" w:rsidRPr="00C96F1A" w:rsidRDefault="00B625AF" w:rsidP="00247724">
      <w:pPr>
        <w:pStyle w:val="Heading2"/>
      </w:pPr>
      <w:bookmarkStart w:id="36" w:name="_Toc528845965"/>
      <w:r w:rsidRPr="00C96F1A">
        <w:lastRenderedPageBreak/>
        <w:t>Strategic Information and Communication</w:t>
      </w:r>
      <w:r w:rsidR="00D250FD">
        <w:t xml:space="preserve"> </w:t>
      </w:r>
      <w:r w:rsidRPr="00C96F1A">
        <w:t>Technology (including QGCIO)</w:t>
      </w:r>
      <w:bookmarkEnd w:id="36"/>
    </w:p>
    <w:p w:rsidR="0028598A" w:rsidRPr="00C96F1A" w:rsidRDefault="00B625AF" w:rsidP="00D250FD">
      <w:pPr>
        <w:pStyle w:val="Heading3"/>
      </w:pPr>
      <w:r w:rsidRPr="00C96F1A">
        <w:t>Our objective</w:t>
      </w:r>
    </w:p>
    <w:p w:rsidR="0028598A" w:rsidRPr="00C96F1A" w:rsidRDefault="00B625AF" w:rsidP="00C96F1A">
      <w:pPr>
        <w:rPr>
          <w:rFonts w:ascii="Arial" w:hAnsi="Arial" w:cs="Arial"/>
        </w:rPr>
      </w:pPr>
      <w:r w:rsidRPr="00C96F1A">
        <w:rPr>
          <w:rFonts w:ascii="Arial" w:hAnsi="Arial" w:cs="Arial"/>
        </w:rPr>
        <w:t>To deliver specialist Information and Communication Technology (ICT) services and advice across government and the ICT industry, to support the achievement of government priorities and assist Queensland Government agencies to deliver their services and legislative responsibilities.</w:t>
      </w:r>
    </w:p>
    <w:p w:rsidR="0028598A" w:rsidRPr="00C96F1A" w:rsidRDefault="00B625AF" w:rsidP="00D250FD">
      <w:pPr>
        <w:pStyle w:val="Heading3"/>
      </w:pPr>
      <w:r w:rsidRPr="00C96F1A">
        <w:t>What we do</w:t>
      </w:r>
    </w:p>
    <w:p w:rsidR="0028598A" w:rsidRPr="00C96F1A" w:rsidRDefault="00B625AF" w:rsidP="00C96F1A">
      <w:pPr>
        <w:rPr>
          <w:rFonts w:ascii="Arial" w:hAnsi="Arial" w:cs="Arial"/>
        </w:rPr>
      </w:pPr>
      <w:r w:rsidRPr="00C96F1A">
        <w:rPr>
          <w:rFonts w:ascii="Arial" w:hAnsi="Arial" w:cs="Arial"/>
        </w:rPr>
        <w:t>Strategic ICT supports the delivery of multi-agency ICT programs and projects, data analytics, and manages ICT strategic procurement arrangements and major ICT contracts.</w:t>
      </w:r>
    </w:p>
    <w:p w:rsidR="0028598A" w:rsidRPr="00C96F1A" w:rsidRDefault="00B625AF" w:rsidP="00C96F1A">
      <w:pPr>
        <w:rPr>
          <w:rFonts w:ascii="Arial" w:hAnsi="Arial" w:cs="Arial"/>
        </w:rPr>
      </w:pPr>
      <w:r w:rsidRPr="00C96F1A">
        <w:rPr>
          <w:rFonts w:ascii="Arial" w:hAnsi="Arial" w:cs="Arial"/>
        </w:rPr>
        <w:t>Strategic ICT also delivers ICT infrastructure services through CITEC (reported separately on page</w:t>
      </w:r>
      <w:r w:rsidR="001F3458">
        <w:rPr>
          <w:rFonts w:ascii="Arial" w:hAnsi="Arial" w:cs="Arial"/>
        </w:rPr>
        <w:t xml:space="preserve"> </w:t>
      </w:r>
      <w:r w:rsidR="001F3458">
        <w:rPr>
          <w:rFonts w:ascii="Arial" w:hAnsi="Arial" w:cs="Arial"/>
        </w:rPr>
        <w:fldChar w:fldCharType="begin"/>
      </w:r>
      <w:r w:rsidR="001F3458">
        <w:rPr>
          <w:rFonts w:ascii="Arial" w:hAnsi="Arial" w:cs="Arial"/>
        </w:rPr>
        <w:instrText xml:space="preserve"> REF CITEC \h </w:instrText>
      </w:r>
      <w:r w:rsidR="001F3458">
        <w:rPr>
          <w:rFonts w:ascii="Arial" w:hAnsi="Arial" w:cs="Arial"/>
        </w:rPr>
      </w:r>
      <w:r w:rsidR="001F3458">
        <w:rPr>
          <w:rFonts w:ascii="Arial" w:hAnsi="Arial" w:cs="Arial"/>
        </w:rPr>
        <w:fldChar w:fldCharType="end"/>
      </w:r>
      <w:r w:rsidR="001F3458">
        <w:rPr>
          <w:rFonts w:ascii="Arial" w:hAnsi="Arial" w:cs="Arial"/>
        </w:rPr>
        <w:fldChar w:fldCharType="begin"/>
      </w:r>
      <w:r w:rsidR="001F3458">
        <w:rPr>
          <w:rFonts w:ascii="Arial" w:hAnsi="Arial" w:cs="Arial"/>
        </w:rPr>
        <w:instrText xml:space="preserve"> REF CITEC \h </w:instrText>
      </w:r>
      <w:r w:rsidR="001F3458">
        <w:rPr>
          <w:rFonts w:ascii="Arial" w:hAnsi="Arial" w:cs="Arial"/>
        </w:rPr>
      </w:r>
      <w:r w:rsidR="001F3458">
        <w:rPr>
          <w:rFonts w:ascii="Arial" w:hAnsi="Arial" w:cs="Arial"/>
        </w:rPr>
        <w:fldChar w:fldCharType="end"/>
      </w:r>
      <w:r w:rsidR="001F3458">
        <w:rPr>
          <w:rFonts w:ascii="Arial" w:hAnsi="Arial" w:cs="Arial"/>
        </w:rPr>
        <w:fldChar w:fldCharType="begin"/>
      </w:r>
      <w:r w:rsidR="001F3458">
        <w:rPr>
          <w:rFonts w:ascii="Arial" w:hAnsi="Arial" w:cs="Arial"/>
        </w:rPr>
        <w:instrText xml:space="preserve"> PAGEREF CITEC \h </w:instrText>
      </w:r>
      <w:r w:rsidR="001F3458">
        <w:rPr>
          <w:rFonts w:ascii="Arial" w:hAnsi="Arial" w:cs="Arial"/>
        </w:rPr>
      </w:r>
      <w:r w:rsidR="001F3458">
        <w:rPr>
          <w:rFonts w:ascii="Arial" w:hAnsi="Arial" w:cs="Arial"/>
        </w:rPr>
        <w:fldChar w:fldCharType="separate"/>
      </w:r>
      <w:r w:rsidR="00791D73">
        <w:rPr>
          <w:rFonts w:ascii="Arial" w:hAnsi="Arial" w:cs="Arial"/>
          <w:noProof/>
        </w:rPr>
        <w:t>56</w:t>
      </w:r>
      <w:r w:rsidR="001F3458">
        <w:rPr>
          <w:rFonts w:ascii="Arial" w:hAnsi="Arial" w:cs="Arial"/>
        </w:rPr>
        <w:fldChar w:fldCharType="end"/>
      </w:r>
      <w:r w:rsidRPr="00C96F1A">
        <w:rPr>
          <w:rFonts w:ascii="Arial" w:hAnsi="Arial" w:cs="Arial"/>
        </w:rPr>
        <w:t>).</w:t>
      </w:r>
    </w:p>
    <w:p w:rsidR="0028598A" w:rsidRPr="00C96F1A" w:rsidRDefault="00B625AF" w:rsidP="00C96F1A">
      <w:pPr>
        <w:rPr>
          <w:rFonts w:ascii="Arial" w:hAnsi="Arial" w:cs="Arial"/>
        </w:rPr>
      </w:pPr>
      <w:r w:rsidRPr="00C96F1A">
        <w:rPr>
          <w:rFonts w:ascii="Arial" w:hAnsi="Arial" w:cs="Arial"/>
        </w:rPr>
        <w:t>QGCIO provides advice to government on digital ICT and digital investment.</w:t>
      </w:r>
    </w:p>
    <w:p w:rsidR="0028598A" w:rsidRPr="00C96F1A" w:rsidRDefault="00B625AF" w:rsidP="00D250FD">
      <w:pPr>
        <w:pStyle w:val="Heading3"/>
      </w:pPr>
      <w:r w:rsidRPr="00C96F1A">
        <w:t>Our achievements</w:t>
      </w:r>
    </w:p>
    <w:p w:rsidR="0028598A" w:rsidRPr="00C96F1A" w:rsidRDefault="00B625AF" w:rsidP="00D250FD">
      <w:pPr>
        <w:pStyle w:val="Heading6"/>
      </w:pPr>
      <w:r w:rsidRPr="00C96F1A">
        <w:t>Protecting government information</w:t>
      </w:r>
    </w:p>
    <w:p w:rsidR="0028598A" w:rsidRPr="00C96F1A" w:rsidRDefault="00B625AF" w:rsidP="00C96F1A">
      <w:pPr>
        <w:rPr>
          <w:rFonts w:ascii="Arial" w:hAnsi="Arial" w:cs="Arial"/>
        </w:rPr>
      </w:pPr>
      <w:r w:rsidRPr="00C96F1A">
        <w:rPr>
          <w:rFonts w:ascii="Arial" w:hAnsi="Arial" w:cs="Arial"/>
        </w:rPr>
        <w:t>The department plays a key role in supporting the protection of government digital assets and information and cyber resilience. This important work helps maintain trust in government.</w:t>
      </w:r>
    </w:p>
    <w:p w:rsidR="0028598A" w:rsidRPr="00C96F1A" w:rsidRDefault="00B625AF" w:rsidP="00C96F1A">
      <w:pPr>
        <w:rPr>
          <w:rFonts w:ascii="Arial" w:hAnsi="Arial" w:cs="Arial"/>
        </w:rPr>
      </w:pPr>
      <w:r w:rsidRPr="00C96F1A">
        <w:rPr>
          <w:rFonts w:ascii="Arial" w:hAnsi="Arial" w:cs="Arial"/>
        </w:rPr>
        <w:t>In 2017–18, we:</w:t>
      </w:r>
    </w:p>
    <w:p w:rsidR="0028598A" w:rsidRPr="00D250FD" w:rsidRDefault="00B625AF" w:rsidP="00D806AE">
      <w:pPr>
        <w:pStyle w:val="ListParagraph"/>
        <w:numPr>
          <w:ilvl w:val="0"/>
          <w:numId w:val="89"/>
        </w:numPr>
        <w:rPr>
          <w:rFonts w:ascii="Arial" w:hAnsi="Arial" w:cs="Arial"/>
        </w:rPr>
      </w:pPr>
      <w:r w:rsidRPr="00D250FD">
        <w:rPr>
          <w:rFonts w:ascii="Arial" w:hAnsi="Arial" w:cs="Arial"/>
        </w:rPr>
        <w:t>improved whole-of-government cyber security capability through continual strengthening of information security policy, processes and practices</w:t>
      </w:r>
    </w:p>
    <w:p w:rsidR="0028598A" w:rsidRPr="00D250FD" w:rsidRDefault="00B625AF" w:rsidP="00D806AE">
      <w:pPr>
        <w:pStyle w:val="ListParagraph"/>
        <w:numPr>
          <w:ilvl w:val="0"/>
          <w:numId w:val="89"/>
        </w:numPr>
        <w:rPr>
          <w:rFonts w:ascii="Arial" w:hAnsi="Arial" w:cs="Arial"/>
        </w:rPr>
      </w:pPr>
      <w:r w:rsidRPr="00D250FD">
        <w:rPr>
          <w:rFonts w:ascii="Arial" w:hAnsi="Arial" w:cs="Arial"/>
        </w:rPr>
        <w:t>raised awareness and boosted staff education through phishing simulation exercises and a government-wide cyber security incident response</w:t>
      </w:r>
    </w:p>
    <w:p w:rsidR="0028598A" w:rsidRPr="00D250FD" w:rsidRDefault="00B625AF" w:rsidP="00D806AE">
      <w:pPr>
        <w:pStyle w:val="ListParagraph"/>
        <w:numPr>
          <w:ilvl w:val="0"/>
          <w:numId w:val="89"/>
        </w:numPr>
        <w:rPr>
          <w:rFonts w:ascii="Arial" w:hAnsi="Arial" w:cs="Arial"/>
        </w:rPr>
      </w:pPr>
      <w:r w:rsidRPr="00D250FD">
        <w:rPr>
          <w:rFonts w:ascii="Arial" w:hAnsi="Arial" w:cs="Arial"/>
        </w:rPr>
        <w:t>delivered vulnerability scanning of government information and technology assets</w:t>
      </w:r>
    </w:p>
    <w:p w:rsidR="0028598A" w:rsidRPr="00D250FD" w:rsidRDefault="00B625AF" w:rsidP="00D806AE">
      <w:pPr>
        <w:pStyle w:val="ListParagraph"/>
        <w:numPr>
          <w:ilvl w:val="0"/>
          <w:numId w:val="89"/>
        </w:numPr>
        <w:rPr>
          <w:rFonts w:ascii="Arial" w:hAnsi="Arial" w:cs="Arial"/>
        </w:rPr>
      </w:pPr>
      <w:r w:rsidRPr="00D250FD">
        <w:rPr>
          <w:rFonts w:ascii="Arial" w:hAnsi="Arial" w:cs="Arial"/>
        </w:rPr>
        <w:t>provided advice and coordination for cyber security incidents to agencies and external cyber security organisations</w:t>
      </w:r>
    </w:p>
    <w:p w:rsidR="0028598A" w:rsidRPr="00D250FD" w:rsidRDefault="00B625AF" w:rsidP="00D806AE">
      <w:pPr>
        <w:pStyle w:val="ListParagraph"/>
        <w:numPr>
          <w:ilvl w:val="0"/>
          <w:numId w:val="89"/>
        </w:numPr>
        <w:rPr>
          <w:rFonts w:ascii="Arial" w:hAnsi="Arial" w:cs="Arial"/>
        </w:rPr>
      </w:pPr>
      <w:r w:rsidRPr="00D250FD">
        <w:rPr>
          <w:rFonts w:ascii="Arial" w:hAnsi="Arial" w:cs="Arial"/>
        </w:rPr>
        <w:t>developed real-time collaboration channels to share threat intelligence across agencies and external partners, working with them to drive improvements.</w:t>
      </w:r>
    </w:p>
    <w:p w:rsidR="0028598A" w:rsidRPr="00C96F1A" w:rsidRDefault="00B625AF" w:rsidP="00D250FD">
      <w:pPr>
        <w:pStyle w:val="Heading6"/>
      </w:pPr>
      <w:r w:rsidRPr="00C96F1A">
        <w:t>Delivering efficient services across government</w:t>
      </w:r>
    </w:p>
    <w:p w:rsidR="0028598A" w:rsidRPr="00C96F1A" w:rsidRDefault="00B625AF" w:rsidP="00C96F1A">
      <w:pPr>
        <w:rPr>
          <w:rFonts w:ascii="Arial" w:hAnsi="Arial" w:cs="Arial"/>
        </w:rPr>
      </w:pPr>
      <w:r w:rsidRPr="00C96F1A">
        <w:rPr>
          <w:rFonts w:ascii="Arial" w:hAnsi="Arial" w:cs="Arial"/>
        </w:rPr>
        <w:t>Assisting the government to run more efficiently through high quality advice, assurance and innovative government-to- government services is a focus for our department.</w:t>
      </w:r>
    </w:p>
    <w:p w:rsidR="0028598A" w:rsidRPr="00C96F1A" w:rsidRDefault="00B625AF" w:rsidP="00C96F1A">
      <w:pPr>
        <w:rPr>
          <w:rFonts w:ascii="Arial" w:hAnsi="Arial" w:cs="Arial"/>
        </w:rPr>
      </w:pPr>
      <w:r w:rsidRPr="00C96F1A">
        <w:rPr>
          <w:rFonts w:ascii="Arial" w:hAnsi="Arial" w:cs="Arial"/>
        </w:rPr>
        <w:t>In 2017–18, we:</w:t>
      </w:r>
    </w:p>
    <w:p w:rsidR="0028598A" w:rsidRPr="00D250FD" w:rsidRDefault="00B625AF" w:rsidP="00D806AE">
      <w:pPr>
        <w:pStyle w:val="ListParagraph"/>
        <w:numPr>
          <w:ilvl w:val="0"/>
          <w:numId w:val="90"/>
        </w:numPr>
        <w:rPr>
          <w:rFonts w:ascii="Arial" w:hAnsi="Arial" w:cs="Arial"/>
        </w:rPr>
      </w:pPr>
      <w:r w:rsidRPr="00D250FD">
        <w:rPr>
          <w:rFonts w:ascii="Arial" w:hAnsi="Arial" w:cs="Arial"/>
        </w:rPr>
        <w:t>supported cyber security preparations for the 2018 Commonwealth Games and provided on-site technical support during the event</w:t>
      </w:r>
    </w:p>
    <w:p w:rsidR="0028598A" w:rsidRPr="00D250FD" w:rsidRDefault="00B625AF" w:rsidP="00D806AE">
      <w:pPr>
        <w:pStyle w:val="ListParagraph"/>
        <w:numPr>
          <w:ilvl w:val="0"/>
          <w:numId w:val="90"/>
        </w:numPr>
        <w:rPr>
          <w:rFonts w:ascii="Arial" w:hAnsi="Arial" w:cs="Arial"/>
        </w:rPr>
      </w:pPr>
      <w:r w:rsidRPr="00D250FD">
        <w:rPr>
          <w:rFonts w:ascii="Arial" w:hAnsi="Arial" w:cs="Arial"/>
        </w:rPr>
        <w:t>delivered the Queensland Government IT Graduate Program, supporting 87 participants from across 10 agencies and contributing to exciting and innovative IT projects across the state</w:t>
      </w:r>
    </w:p>
    <w:p w:rsidR="0028598A" w:rsidRPr="00D250FD" w:rsidRDefault="00B625AF" w:rsidP="00D806AE">
      <w:pPr>
        <w:pStyle w:val="ListParagraph"/>
        <w:numPr>
          <w:ilvl w:val="0"/>
          <w:numId w:val="90"/>
        </w:numPr>
        <w:rPr>
          <w:rFonts w:ascii="Arial" w:hAnsi="Arial" w:cs="Arial"/>
        </w:rPr>
      </w:pPr>
      <w:r w:rsidRPr="00D250FD">
        <w:rPr>
          <w:rFonts w:ascii="Arial" w:hAnsi="Arial" w:cs="Arial"/>
        </w:rPr>
        <w:t>recruited 31 graduates in 2017, and saw 53 participants graduate from the 2016 intake</w:t>
      </w:r>
    </w:p>
    <w:p w:rsidR="0028598A" w:rsidRPr="00D250FD" w:rsidRDefault="00B625AF" w:rsidP="00D806AE">
      <w:pPr>
        <w:pStyle w:val="ListParagraph"/>
        <w:numPr>
          <w:ilvl w:val="0"/>
          <w:numId w:val="90"/>
        </w:numPr>
        <w:rPr>
          <w:rFonts w:ascii="Arial" w:hAnsi="Arial" w:cs="Arial"/>
        </w:rPr>
      </w:pPr>
      <w:r w:rsidRPr="00D250FD">
        <w:rPr>
          <w:rFonts w:ascii="Arial" w:hAnsi="Arial" w:cs="Arial"/>
        </w:rPr>
        <w:t xml:space="preserve">delivered strategies, policies, standards and guidelines within the Queensland Government Enterprise Architecture (QGEA) governance framework to assist agencies to deliver quality </w:t>
      </w:r>
      <w:r w:rsidRPr="00D250FD">
        <w:rPr>
          <w:rFonts w:ascii="Arial" w:hAnsi="Arial" w:cs="Arial"/>
        </w:rPr>
        <w:lastRenderedPageBreak/>
        <w:t xml:space="preserve">frontline services, including </w:t>
      </w:r>
      <w:r w:rsidRPr="00D97B08">
        <w:rPr>
          <w:rFonts w:ascii="Arial" w:hAnsi="Arial" w:cs="Arial"/>
        </w:rPr>
        <w:t>the</w:t>
      </w:r>
      <w:r w:rsidRPr="00D97B08">
        <w:rPr>
          <w:rFonts w:ascii="Arial" w:hAnsi="Arial" w:cs="Arial"/>
          <w:i/>
        </w:rPr>
        <w:t xml:space="preserve"> Information Sharing Authorising Framework</w:t>
      </w:r>
      <w:r w:rsidRPr="00D250FD">
        <w:rPr>
          <w:rFonts w:ascii="Arial" w:hAnsi="Arial" w:cs="Arial"/>
        </w:rPr>
        <w:t>, one of over 630 continually reviewed documents in the QGEA library</w:t>
      </w:r>
    </w:p>
    <w:p w:rsidR="0028598A" w:rsidRPr="00D250FD" w:rsidRDefault="00B625AF" w:rsidP="00D806AE">
      <w:pPr>
        <w:pStyle w:val="ListParagraph"/>
        <w:numPr>
          <w:ilvl w:val="0"/>
          <w:numId w:val="90"/>
        </w:numPr>
        <w:rPr>
          <w:rFonts w:ascii="Arial" w:hAnsi="Arial" w:cs="Arial"/>
        </w:rPr>
      </w:pPr>
      <w:r w:rsidRPr="00D250FD">
        <w:rPr>
          <w:rFonts w:ascii="Arial" w:hAnsi="Arial" w:cs="Arial"/>
        </w:rPr>
        <w:t>progressed the HRIS Program (Human Resources Information System), which will see more than 15,000 public safety officers transition from four different systems onto a new payroll solution</w:t>
      </w:r>
    </w:p>
    <w:p w:rsidR="0028598A" w:rsidRPr="00D250FD" w:rsidRDefault="00B625AF" w:rsidP="00D806AE">
      <w:pPr>
        <w:pStyle w:val="ListParagraph"/>
        <w:numPr>
          <w:ilvl w:val="0"/>
          <w:numId w:val="90"/>
        </w:numPr>
        <w:rPr>
          <w:rFonts w:ascii="Arial" w:hAnsi="Arial" w:cs="Arial"/>
        </w:rPr>
      </w:pPr>
      <w:r w:rsidRPr="00D250FD">
        <w:rPr>
          <w:rFonts w:ascii="Arial" w:hAnsi="Arial" w:cs="Arial"/>
        </w:rPr>
        <w:t>completed round two of the Testing Within Government (TWiG) program, enabling 11 small to medium enterprises to improve the positioning of their ICT products while addressing real business problems for the Queensland Government</w:t>
      </w:r>
    </w:p>
    <w:p w:rsidR="0028598A" w:rsidRPr="00D250FD" w:rsidRDefault="00B625AF" w:rsidP="00D806AE">
      <w:pPr>
        <w:pStyle w:val="ListParagraph"/>
        <w:numPr>
          <w:ilvl w:val="0"/>
          <w:numId w:val="90"/>
        </w:numPr>
        <w:rPr>
          <w:rFonts w:ascii="Arial" w:hAnsi="Arial" w:cs="Arial"/>
        </w:rPr>
      </w:pPr>
      <w:r w:rsidRPr="00D250FD">
        <w:rPr>
          <w:rFonts w:ascii="Arial" w:hAnsi="Arial" w:cs="Arial"/>
        </w:rPr>
        <w:t>led the ICT Category function to:</w:t>
      </w:r>
    </w:p>
    <w:p w:rsidR="0028598A" w:rsidRPr="00D250FD" w:rsidRDefault="00B625AF" w:rsidP="000B3860">
      <w:pPr>
        <w:pStyle w:val="ListParagraph"/>
        <w:numPr>
          <w:ilvl w:val="0"/>
          <w:numId w:val="112"/>
        </w:numPr>
        <w:rPr>
          <w:rFonts w:ascii="Arial" w:hAnsi="Arial" w:cs="Arial"/>
        </w:rPr>
      </w:pPr>
      <w:r w:rsidRPr="00D250FD">
        <w:rPr>
          <w:rFonts w:ascii="Arial" w:hAnsi="Arial" w:cs="Arial"/>
        </w:rPr>
        <w:t>manage ICT strategic sourcing and procurement arrangements</w:t>
      </w:r>
    </w:p>
    <w:p w:rsidR="0028598A" w:rsidRPr="00D250FD" w:rsidRDefault="00B625AF" w:rsidP="000B3860">
      <w:pPr>
        <w:pStyle w:val="ListParagraph"/>
        <w:numPr>
          <w:ilvl w:val="0"/>
          <w:numId w:val="112"/>
        </w:numPr>
        <w:rPr>
          <w:rFonts w:ascii="Arial" w:hAnsi="Arial" w:cs="Arial"/>
        </w:rPr>
      </w:pPr>
      <w:r w:rsidRPr="00D250FD">
        <w:rPr>
          <w:rFonts w:ascii="Arial" w:hAnsi="Arial" w:cs="Arial"/>
        </w:rPr>
        <w:t>facilitate engagement between the ICT industry and government</w:t>
      </w:r>
    </w:p>
    <w:p w:rsidR="0028598A" w:rsidRPr="00D250FD" w:rsidRDefault="00B625AF" w:rsidP="000B3860">
      <w:pPr>
        <w:pStyle w:val="ListParagraph"/>
        <w:numPr>
          <w:ilvl w:val="0"/>
          <w:numId w:val="112"/>
        </w:numPr>
        <w:rPr>
          <w:rFonts w:ascii="Arial" w:hAnsi="Arial" w:cs="Arial"/>
        </w:rPr>
      </w:pPr>
      <w:r w:rsidRPr="00D250FD">
        <w:rPr>
          <w:rFonts w:ascii="Arial" w:hAnsi="Arial" w:cs="Arial"/>
        </w:rPr>
        <w:t>manage critical multi-agency and whole-of-government ICT contracts that underpin government service delivery.</w:t>
      </w:r>
    </w:p>
    <w:p w:rsidR="0028598A" w:rsidRPr="00C96F1A" w:rsidRDefault="00B625AF" w:rsidP="00D250FD">
      <w:pPr>
        <w:pStyle w:val="Heading3"/>
      </w:pPr>
      <w:r w:rsidRPr="00C96F1A">
        <w:t>Our future focus</w:t>
      </w:r>
    </w:p>
    <w:p w:rsidR="0028598A" w:rsidRPr="00C96F1A" w:rsidRDefault="00B625AF" w:rsidP="00C96F1A">
      <w:pPr>
        <w:rPr>
          <w:rFonts w:ascii="Arial" w:hAnsi="Arial" w:cs="Arial"/>
        </w:rPr>
      </w:pPr>
      <w:r w:rsidRPr="00C96F1A">
        <w:rPr>
          <w:rFonts w:ascii="Arial" w:hAnsi="Arial" w:cs="Arial"/>
        </w:rPr>
        <w:t>In 2018–19, the department will continue to harness digital technology to deliver responsive services to Queenslanders and government by:</w:t>
      </w:r>
    </w:p>
    <w:p w:rsidR="0028598A" w:rsidRPr="00B8777E" w:rsidRDefault="00B625AF" w:rsidP="00D806AE">
      <w:pPr>
        <w:pStyle w:val="ListParagraph"/>
        <w:numPr>
          <w:ilvl w:val="0"/>
          <w:numId w:val="91"/>
        </w:numPr>
        <w:rPr>
          <w:rFonts w:ascii="Arial" w:hAnsi="Arial" w:cs="Arial"/>
        </w:rPr>
      </w:pPr>
      <w:r w:rsidRPr="00B8777E">
        <w:rPr>
          <w:rFonts w:ascii="Arial" w:hAnsi="Arial" w:cs="Arial"/>
        </w:rPr>
        <w:t>enabling small to medium enterprises to collaborate with the Queensland Government on a range of business problems through the Testing within Government (TWiG) program</w:t>
      </w:r>
    </w:p>
    <w:p w:rsidR="0028598A" w:rsidRPr="00B8777E" w:rsidRDefault="00B625AF" w:rsidP="00D806AE">
      <w:pPr>
        <w:pStyle w:val="ListParagraph"/>
        <w:numPr>
          <w:ilvl w:val="0"/>
          <w:numId w:val="91"/>
        </w:numPr>
        <w:rPr>
          <w:rFonts w:ascii="Arial" w:hAnsi="Arial" w:cs="Arial"/>
        </w:rPr>
      </w:pPr>
      <w:r w:rsidRPr="00B8777E">
        <w:rPr>
          <w:rFonts w:ascii="Arial" w:hAnsi="Arial" w:cs="Arial"/>
        </w:rPr>
        <w:t>providing sound guidance to improve government investment in digital and ICT-enabling initiatives through the investment and assurance review processes</w:t>
      </w:r>
    </w:p>
    <w:p w:rsidR="0028598A" w:rsidRPr="00B8777E" w:rsidRDefault="00B625AF" w:rsidP="00D806AE">
      <w:pPr>
        <w:pStyle w:val="ListParagraph"/>
        <w:numPr>
          <w:ilvl w:val="0"/>
          <w:numId w:val="91"/>
        </w:numPr>
        <w:rPr>
          <w:rFonts w:ascii="Arial" w:hAnsi="Arial" w:cs="Arial"/>
        </w:rPr>
      </w:pPr>
      <w:r w:rsidRPr="00B8777E">
        <w:rPr>
          <w:rFonts w:ascii="Arial" w:hAnsi="Arial" w:cs="Arial"/>
        </w:rPr>
        <w:t>continually improving government cyber security preparedness and increasing trust in the delivery of government services and information management</w:t>
      </w:r>
    </w:p>
    <w:p w:rsidR="0028598A" w:rsidRPr="00B8777E" w:rsidRDefault="00B625AF" w:rsidP="00D806AE">
      <w:pPr>
        <w:pStyle w:val="ListParagraph"/>
        <w:numPr>
          <w:ilvl w:val="0"/>
          <w:numId w:val="91"/>
        </w:numPr>
        <w:rPr>
          <w:rFonts w:ascii="Arial" w:hAnsi="Arial" w:cs="Arial"/>
        </w:rPr>
      </w:pPr>
      <w:r w:rsidRPr="00B8777E">
        <w:rPr>
          <w:rFonts w:ascii="Arial" w:hAnsi="Arial" w:cs="Arial"/>
        </w:rPr>
        <w:t>assisting agencies with the digital transformation of core agency systems to better support the delivery of services to Queenslanders</w:t>
      </w:r>
    </w:p>
    <w:p w:rsidR="0028598A" w:rsidRPr="00B8777E" w:rsidRDefault="00B625AF" w:rsidP="00D806AE">
      <w:pPr>
        <w:pStyle w:val="ListParagraph"/>
        <w:numPr>
          <w:ilvl w:val="0"/>
          <w:numId w:val="91"/>
        </w:numPr>
        <w:rPr>
          <w:rFonts w:ascii="Arial" w:hAnsi="Arial" w:cs="Arial"/>
        </w:rPr>
      </w:pPr>
      <w:r w:rsidRPr="00B8777E">
        <w:rPr>
          <w:rFonts w:ascii="Arial" w:hAnsi="Arial" w:cs="Arial"/>
        </w:rPr>
        <w:t>establishing new supply arrangements on behalf of government for telecommunications, corporate services software, network hardware and services, and IT management as a service</w:t>
      </w:r>
    </w:p>
    <w:p w:rsidR="0028598A" w:rsidRPr="00B8777E" w:rsidRDefault="00B625AF" w:rsidP="00D806AE">
      <w:pPr>
        <w:pStyle w:val="ListParagraph"/>
        <w:numPr>
          <w:ilvl w:val="0"/>
          <w:numId w:val="91"/>
        </w:numPr>
        <w:rPr>
          <w:rFonts w:ascii="Arial" w:hAnsi="Arial" w:cs="Arial"/>
        </w:rPr>
      </w:pPr>
      <w:r w:rsidRPr="00B8777E">
        <w:rPr>
          <w:rFonts w:ascii="Arial" w:hAnsi="Arial" w:cs="Arial"/>
        </w:rPr>
        <w:t>working with interstate and federal stakeholders to agree on options for establishing an integrated national digital public safety radio network.</w:t>
      </w:r>
    </w:p>
    <w:p w:rsidR="0028598A" w:rsidRDefault="0028598A" w:rsidP="00C96F1A">
      <w:pPr>
        <w:rPr>
          <w:rFonts w:ascii="Arial" w:hAnsi="Arial" w:cs="Arial"/>
        </w:rPr>
      </w:pPr>
    </w:p>
    <w:p w:rsidR="0028598A" w:rsidRPr="00C96F1A" w:rsidRDefault="00B625AF" w:rsidP="00D250FD">
      <w:pPr>
        <w:pStyle w:val="Heading3"/>
      </w:pPr>
      <w:r w:rsidRPr="00C96F1A">
        <w:t>Service standards</w:t>
      </w:r>
    </w:p>
    <w:tbl>
      <w:tblPr>
        <w:tblW w:w="9902"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7233"/>
        <w:gridCol w:w="1418"/>
        <w:gridCol w:w="1251"/>
      </w:tblGrid>
      <w:tr w:rsidR="00D342AE" w:rsidRPr="00D9414B" w:rsidTr="00987BCA">
        <w:trPr>
          <w:tblHeader/>
        </w:trPr>
        <w:tc>
          <w:tcPr>
            <w:tcW w:w="7233" w:type="dxa"/>
            <w:shd w:val="clear" w:color="auto" w:fill="000000" w:themeFill="text1"/>
            <w:vAlign w:val="center"/>
          </w:tcPr>
          <w:p w:rsidR="00D342AE" w:rsidRPr="00453C2F" w:rsidRDefault="00D342AE" w:rsidP="00987BCA">
            <w:pPr>
              <w:pStyle w:val="TableTextHeading"/>
              <w:jc w:val="left"/>
              <w:rPr>
                <w:color w:val="FFFFFF" w:themeColor="background1"/>
                <w:vertAlign w:val="superscript"/>
              </w:rPr>
            </w:pPr>
            <w:r w:rsidRPr="11284B68">
              <w:rPr>
                <w:color w:val="FFFFFF" w:themeColor="background1"/>
              </w:rPr>
              <w:t xml:space="preserve">Service area: Strategic Information </w:t>
            </w:r>
            <w:r>
              <w:rPr>
                <w:color w:val="FFFFFF" w:themeColor="background1"/>
              </w:rPr>
              <w:t xml:space="preserve">and Communication </w:t>
            </w:r>
            <w:r w:rsidRPr="11284B68">
              <w:rPr>
                <w:color w:val="FFFFFF" w:themeColor="background1"/>
              </w:rPr>
              <w:t>Technology</w:t>
            </w:r>
            <w:r w:rsidRPr="11284B68">
              <w:rPr>
                <w:color w:val="FFFFFF" w:themeColor="background1"/>
                <w:vertAlign w:val="superscript"/>
              </w:rPr>
              <w:t>1</w:t>
            </w:r>
          </w:p>
        </w:tc>
        <w:tc>
          <w:tcPr>
            <w:tcW w:w="1418" w:type="dxa"/>
            <w:shd w:val="clear" w:color="auto" w:fill="000000" w:themeFill="text1"/>
            <w:vAlign w:val="center"/>
            <w:hideMark/>
          </w:tcPr>
          <w:p w:rsidR="00D342AE" w:rsidRPr="00D9414B" w:rsidRDefault="00D342AE" w:rsidP="00987BCA">
            <w:pPr>
              <w:pStyle w:val="TableTextHeading"/>
              <w:rPr>
                <w:color w:val="FFFFFF" w:themeColor="background1"/>
              </w:rPr>
            </w:pPr>
            <w:r w:rsidRPr="11284B68">
              <w:rPr>
                <w:color w:val="FFFFFF" w:themeColor="background1"/>
              </w:rPr>
              <w:t>2017</w:t>
            </w:r>
            <w:r>
              <w:rPr>
                <w:color w:val="FFFFFF" w:themeColor="background1"/>
              </w:rPr>
              <w:t>–</w:t>
            </w:r>
            <w:r w:rsidRPr="11284B68">
              <w:rPr>
                <w:color w:val="FFFFFF" w:themeColor="background1"/>
              </w:rPr>
              <w:t>18</w:t>
            </w:r>
          </w:p>
          <w:p w:rsidR="00D342AE" w:rsidRPr="00D9414B" w:rsidRDefault="00D342AE" w:rsidP="00987BCA">
            <w:pPr>
              <w:pStyle w:val="TableTextHeading"/>
              <w:rPr>
                <w:color w:val="FFFFFF" w:themeColor="background1"/>
              </w:rPr>
            </w:pPr>
            <w:r w:rsidRPr="11284B68">
              <w:rPr>
                <w:color w:val="FFFFFF" w:themeColor="background1"/>
              </w:rPr>
              <w:t>Target/</w:t>
            </w:r>
            <w:r>
              <w:rPr>
                <w:color w:val="FFFFFF" w:themeColor="background1"/>
              </w:rPr>
              <w:t>e</w:t>
            </w:r>
            <w:r w:rsidRPr="11284B68">
              <w:rPr>
                <w:color w:val="FFFFFF" w:themeColor="background1"/>
              </w:rPr>
              <w:t>st.</w:t>
            </w:r>
          </w:p>
        </w:tc>
        <w:tc>
          <w:tcPr>
            <w:tcW w:w="1251" w:type="dxa"/>
            <w:shd w:val="clear" w:color="auto" w:fill="000000" w:themeFill="text1"/>
            <w:vAlign w:val="center"/>
            <w:hideMark/>
          </w:tcPr>
          <w:p w:rsidR="00D342AE" w:rsidRPr="00D9414B" w:rsidRDefault="00D342AE" w:rsidP="00987BCA">
            <w:pPr>
              <w:pStyle w:val="TableTextHeading"/>
              <w:rPr>
                <w:color w:val="FFFFFF" w:themeColor="background1"/>
              </w:rPr>
            </w:pPr>
            <w:r w:rsidRPr="11284B68">
              <w:rPr>
                <w:color w:val="FFFFFF" w:themeColor="background1"/>
              </w:rPr>
              <w:t>2017</w:t>
            </w:r>
            <w:r>
              <w:rPr>
                <w:color w:val="FFFFFF" w:themeColor="background1"/>
              </w:rPr>
              <w:t>–</w:t>
            </w:r>
            <w:r w:rsidRPr="11284B68">
              <w:rPr>
                <w:color w:val="FFFFFF" w:themeColor="background1"/>
              </w:rPr>
              <w:t>18</w:t>
            </w:r>
          </w:p>
          <w:p w:rsidR="00D342AE" w:rsidRPr="00D9414B" w:rsidRDefault="00D342AE" w:rsidP="00987BCA">
            <w:pPr>
              <w:pStyle w:val="TableTextHeading"/>
              <w:rPr>
                <w:color w:val="FFFFFF" w:themeColor="background1"/>
              </w:rPr>
            </w:pPr>
            <w:r w:rsidRPr="11284B68">
              <w:rPr>
                <w:color w:val="FFFFFF" w:themeColor="background1"/>
              </w:rPr>
              <w:t>Actual</w:t>
            </w:r>
          </w:p>
        </w:tc>
      </w:tr>
      <w:tr w:rsidR="00D342AE" w:rsidRPr="00246DD9" w:rsidTr="00987BCA">
        <w:tc>
          <w:tcPr>
            <w:tcW w:w="7233" w:type="dxa"/>
            <w:shd w:val="clear" w:color="auto" w:fill="D9D9D9" w:themeFill="background1" w:themeFillShade="D9"/>
            <w:vAlign w:val="bottom"/>
          </w:tcPr>
          <w:p w:rsidR="00D342AE" w:rsidRPr="006E3426" w:rsidRDefault="00D342AE" w:rsidP="00987BCA">
            <w:pPr>
              <w:pStyle w:val="TableTextBold"/>
            </w:pPr>
            <w:r>
              <w:t>Effectiveness measure</w:t>
            </w:r>
            <w:r w:rsidR="00D97B08">
              <w:t>s</w:t>
            </w:r>
          </w:p>
        </w:tc>
        <w:tc>
          <w:tcPr>
            <w:tcW w:w="1418" w:type="dxa"/>
            <w:shd w:val="clear" w:color="auto" w:fill="D9D9D9" w:themeFill="background1" w:themeFillShade="D9"/>
          </w:tcPr>
          <w:p w:rsidR="00D342AE" w:rsidRPr="00994A8B" w:rsidRDefault="00D342AE" w:rsidP="00987BCA">
            <w:pPr>
              <w:pStyle w:val="TableTextRight"/>
            </w:pPr>
          </w:p>
        </w:tc>
        <w:tc>
          <w:tcPr>
            <w:tcW w:w="1251" w:type="dxa"/>
            <w:shd w:val="clear" w:color="auto" w:fill="D9D9D9" w:themeFill="background1" w:themeFillShade="D9"/>
          </w:tcPr>
          <w:p w:rsidR="00D342AE" w:rsidRDefault="00D342AE" w:rsidP="00987BCA">
            <w:pPr>
              <w:pStyle w:val="TableTextRight"/>
            </w:pPr>
          </w:p>
        </w:tc>
      </w:tr>
      <w:tr w:rsidR="00D342AE" w:rsidRPr="00246DD9" w:rsidTr="00987BCA">
        <w:tc>
          <w:tcPr>
            <w:tcW w:w="7233" w:type="dxa"/>
            <w:tcBorders>
              <w:bottom w:val="nil"/>
            </w:tcBorders>
          </w:tcPr>
          <w:p w:rsidR="00D342AE" w:rsidRPr="00A112CC" w:rsidRDefault="00D342AE" w:rsidP="00987BCA">
            <w:pPr>
              <w:pStyle w:val="TableText"/>
            </w:pPr>
            <w:r w:rsidRPr="00AF05E5">
              <w:t xml:space="preserve">Percentage of whole-of-government spend awarded to </w:t>
            </w:r>
            <w:r>
              <w:t>s</w:t>
            </w:r>
            <w:r w:rsidRPr="00AF05E5">
              <w:t xml:space="preserve">mall to </w:t>
            </w:r>
            <w:r>
              <w:t>m</w:t>
            </w:r>
            <w:r w:rsidRPr="00AF05E5">
              <w:t>edium sized enterprises (transactions over $10,000)</w:t>
            </w:r>
          </w:p>
        </w:tc>
        <w:tc>
          <w:tcPr>
            <w:tcW w:w="1418" w:type="dxa"/>
            <w:tcBorders>
              <w:bottom w:val="nil"/>
            </w:tcBorders>
          </w:tcPr>
          <w:p w:rsidR="00D342AE" w:rsidRPr="00246DD9" w:rsidRDefault="00D342AE" w:rsidP="00987BCA">
            <w:pPr>
              <w:pStyle w:val="TableTextRight"/>
            </w:pPr>
            <w:r w:rsidRPr="00AF05E5">
              <w:t xml:space="preserve">≥16% </w:t>
            </w:r>
          </w:p>
        </w:tc>
        <w:tc>
          <w:tcPr>
            <w:tcW w:w="1251" w:type="dxa"/>
            <w:tcBorders>
              <w:bottom w:val="nil"/>
            </w:tcBorders>
          </w:tcPr>
          <w:p w:rsidR="00D342AE" w:rsidRPr="00246DD9" w:rsidRDefault="00D342AE" w:rsidP="00987BCA">
            <w:pPr>
              <w:pStyle w:val="TableTextRight"/>
            </w:pPr>
            <w:r w:rsidRPr="00AF05E5">
              <w:t>1</w:t>
            </w:r>
            <w:r w:rsidR="00796D02">
              <w:t>9</w:t>
            </w:r>
            <w:r w:rsidRPr="00AF05E5">
              <w:t>%</w:t>
            </w:r>
          </w:p>
        </w:tc>
      </w:tr>
      <w:tr w:rsidR="00D342AE" w:rsidRPr="00246DD9" w:rsidTr="00D342A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7233" w:type="dxa"/>
            <w:tcBorders>
              <w:top w:val="single" w:sz="6" w:space="0" w:color="auto"/>
              <w:left w:val="single" w:sz="4" w:space="0" w:color="auto"/>
              <w:bottom w:val="single" w:sz="4" w:space="0" w:color="auto"/>
              <w:right w:val="single" w:sz="4" w:space="0" w:color="auto"/>
            </w:tcBorders>
            <w:shd w:val="clear" w:color="auto" w:fill="D9D9D9" w:themeFill="background1" w:themeFillShade="D9"/>
            <w:vAlign w:val="center"/>
          </w:tcPr>
          <w:p w:rsidR="00D342AE" w:rsidRPr="00F11AF4" w:rsidRDefault="00D342AE" w:rsidP="00987BCA">
            <w:pPr>
              <w:pStyle w:val="TableTextBold"/>
            </w:pPr>
            <w:r w:rsidRPr="009052FB">
              <w:t>Efficiency measure</w:t>
            </w:r>
            <w:r w:rsidR="00D97B08">
              <w:t>s</w:t>
            </w:r>
          </w:p>
        </w:tc>
        <w:tc>
          <w:tcPr>
            <w:tcW w:w="1418" w:type="dxa"/>
            <w:tcBorders>
              <w:top w:val="single" w:sz="6" w:space="0" w:color="auto"/>
              <w:left w:val="single" w:sz="4" w:space="0" w:color="auto"/>
              <w:bottom w:val="single" w:sz="4" w:space="0" w:color="auto"/>
              <w:right w:val="single" w:sz="4" w:space="0" w:color="auto"/>
            </w:tcBorders>
            <w:shd w:val="clear" w:color="auto" w:fill="D9D9D9" w:themeFill="background1" w:themeFillShade="D9"/>
            <w:vAlign w:val="center"/>
          </w:tcPr>
          <w:p w:rsidR="00D342AE" w:rsidRPr="00994A8B" w:rsidRDefault="00D342AE" w:rsidP="00987BCA">
            <w:pPr>
              <w:pStyle w:val="TableTextRight"/>
              <w:jc w:val="left"/>
            </w:pPr>
          </w:p>
        </w:tc>
        <w:tc>
          <w:tcPr>
            <w:tcW w:w="1251" w:type="dxa"/>
            <w:tcBorders>
              <w:top w:val="single" w:sz="6" w:space="0" w:color="auto"/>
              <w:left w:val="single" w:sz="4" w:space="0" w:color="auto"/>
              <w:bottom w:val="single" w:sz="4" w:space="0" w:color="auto"/>
              <w:right w:val="single" w:sz="4" w:space="0" w:color="auto"/>
            </w:tcBorders>
            <w:shd w:val="clear" w:color="auto" w:fill="D9D9D9" w:themeFill="background1" w:themeFillShade="D9"/>
            <w:vAlign w:val="center"/>
          </w:tcPr>
          <w:p w:rsidR="00D342AE" w:rsidRPr="005527C0" w:rsidRDefault="00D342AE" w:rsidP="00987BCA">
            <w:pPr>
              <w:pStyle w:val="TableTextRight"/>
              <w:jc w:val="left"/>
            </w:pPr>
          </w:p>
        </w:tc>
      </w:tr>
      <w:tr w:rsidR="00D342AE" w:rsidRPr="00246DD9" w:rsidTr="00D342AE">
        <w:tc>
          <w:tcPr>
            <w:tcW w:w="7233" w:type="dxa"/>
            <w:tcBorders>
              <w:top w:val="single" w:sz="4" w:space="0" w:color="auto"/>
              <w:bottom w:val="single" w:sz="4" w:space="0" w:color="auto"/>
            </w:tcBorders>
          </w:tcPr>
          <w:p w:rsidR="00D342AE" w:rsidRDefault="00D342AE" w:rsidP="00987BCA">
            <w:pPr>
              <w:pStyle w:val="TableText"/>
            </w:pPr>
            <w:r w:rsidRPr="00AF05E5">
              <w:t>Operating cost per $1,000 of managed spend on ICT goods and services</w:t>
            </w:r>
          </w:p>
          <w:p w:rsidR="00D97B08" w:rsidRPr="00D97B08" w:rsidRDefault="00D97B08" w:rsidP="00D97B08">
            <w:pPr>
              <w:pStyle w:val="TableText"/>
              <w:rPr>
                <w:rFonts w:eastAsiaTheme="minorEastAsia" w:cs="MetaNormalLF-Italic"/>
                <w:color w:val="403F41"/>
                <w:sz w:val="14"/>
                <w:szCs w:val="14"/>
              </w:rPr>
            </w:pPr>
            <w:r w:rsidRPr="00D97B08">
              <w:rPr>
                <w:rFonts w:ascii="Arial Narrow" w:eastAsia="Arial Narrow" w:hAnsi="Arial Narrow" w:cs="Arial Narrow"/>
                <w:i/>
                <w:iCs/>
                <w:sz w:val="16"/>
                <w:szCs w:val="16"/>
              </w:rPr>
              <w:t>The positive result is due to lower than forecast expenditure costs.</w:t>
            </w:r>
            <w:r>
              <w:rPr>
                <w:rFonts w:cs="MetaNormalLF-Italic"/>
                <w:color w:val="403F41"/>
                <w:sz w:val="14"/>
                <w:szCs w:val="14"/>
              </w:rPr>
              <w:t xml:space="preserve"> </w:t>
            </w:r>
          </w:p>
        </w:tc>
        <w:tc>
          <w:tcPr>
            <w:tcW w:w="1418" w:type="dxa"/>
            <w:tcBorders>
              <w:top w:val="single" w:sz="4" w:space="0" w:color="auto"/>
              <w:bottom w:val="single" w:sz="4" w:space="0" w:color="auto"/>
            </w:tcBorders>
            <w:shd w:val="clear" w:color="auto" w:fill="auto"/>
          </w:tcPr>
          <w:p w:rsidR="00D342AE" w:rsidRPr="00246DD9" w:rsidRDefault="00D342AE" w:rsidP="00987BCA">
            <w:pPr>
              <w:pStyle w:val="TableTextRight"/>
            </w:pPr>
            <w:r w:rsidRPr="00AF05E5">
              <w:t>≤$20</w:t>
            </w:r>
          </w:p>
        </w:tc>
        <w:tc>
          <w:tcPr>
            <w:tcW w:w="1251" w:type="dxa"/>
            <w:tcBorders>
              <w:top w:val="single" w:sz="4" w:space="0" w:color="auto"/>
              <w:bottom w:val="single" w:sz="4" w:space="0" w:color="auto"/>
            </w:tcBorders>
            <w:shd w:val="clear" w:color="auto" w:fill="auto"/>
          </w:tcPr>
          <w:p w:rsidR="00D342AE" w:rsidRPr="00246DD9" w:rsidRDefault="00D342AE" w:rsidP="00987BCA">
            <w:pPr>
              <w:pStyle w:val="TableTextRight"/>
            </w:pPr>
            <w:r w:rsidRPr="00AF05E5">
              <w:t>$</w:t>
            </w:r>
            <w:r w:rsidR="00796D02">
              <w:t>13.2</w:t>
            </w:r>
            <w:r w:rsidR="002C24CA">
              <w:t>0</w:t>
            </w:r>
          </w:p>
        </w:tc>
      </w:tr>
    </w:tbl>
    <w:p w:rsidR="0028598A" w:rsidRPr="00C96F1A" w:rsidRDefault="00B625AF" w:rsidP="00C96F1A">
      <w:pPr>
        <w:rPr>
          <w:rFonts w:ascii="Arial" w:hAnsi="Arial" w:cs="Arial"/>
        </w:rPr>
      </w:pPr>
      <w:r w:rsidRPr="00C96F1A">
        <w:rPr>
          <w:rFonts w:ascii="Arial" w:hAnsi="Arial" w:cs="Arial"/>
        </w:rPr>
        <w:t>Note:</w:t>
      </w:r>
    </w:p>
    <w:p w:rsidR="0028598A" w:rsidRPr="004E3556" w:rsidRDefault="00B625AF" w:rsidP="00D806AE">
      <w:pPr>
        <w:pStyle w:val="ListParagraph"/>
        <w:numPr>
          <w:ilvl w:val="0"/>
          <w:numId w:val="92"/>
        </w:numPr>
        <w:autoSpaceDE w:val="0"/>
        <w:autoSpaceDN w:val="0"/>
        <w:adjustRightInd w:val="0"/>
        <w:spacing w:after="0"/>
        <w:contextualSpacing/>
        <w:rPr>
          <w:sz w:val="16"/>
          <w:szCs w:val="16"/>
        </w:rPr>
      </w:pPr>
      <w:r w:rsidRPr="004E3556">
        <w:rPr>
          <w:sz w:val="16"/>
          <w:szCs w:val="16"/>
        </w:rPr>
        <w:t>This service area was transferred from the (former) Department of Science, Information Technology and Innovation following machinery-of-government changes.</w:t>
      </w:r>
    </w:p>
    <w:p w:rsidR="0028598A" w:rsidRPr="00C96F1A" w:rsidRDefault="0028598A" w:rsidP="00C96F1A">
      <w:pPr>
        <w:rPr>
          <w:rFonts w:ascii="Arial" w:hAnsi="Arial" w:cs="Arial"/>
        </w:rPr>
        <w:sectPr w:rsidR="0028598A" w:rsidRPr="00C96F1A" w:rsidSect="00C96F1A">
          <w:type w:val="continuous"/>
          <w:pgSz w:w="11910" w:h="16840"/>
          <w:pgMar w:top="1440" w:right="1080" w:bottom="1440" w:left="1080" w:header="720" w:footer="720" w:gutter="0"/>
          <w:cols w:space="720"/>
        </w:sectPr>
      </w:pPr>
    </w:p>
    <w:p w:rsidR="004960A8" w:rsidRPr="00C96F1A" w:rsidRDefault="004960A8" w:rsidP="004960A8">
      <w:pPr>
        <w:pStyle w:val="Heading1"/>
      </w:pPr>
      <w:bookmarkStart w:id="37" w:name="_Toc528845966"/>
      <w:bookmarkStart w:id="38" w:name="_TOC_250019"/>
      <w:r>
        <w:lastRenderedPageBreak/>
        <w:t>Case Study</w:t>
      </w:r>
      <w:bookmarkEnd w:id="37"/>
    </w:p>
    <w:p w:rsidR="004960A8" w:rsidRPr="00CD1230" w:rsidRDefault="004960A8" w:rsidP="004960A8">
      <w:pPr>
        <w:pStyle w:val="Heading3"/>
      </w:pPr>
      <w:r w:rsidRPr="00C96F1A">
        <w:t>Get in the Game</w:t>
      </w:r>
      <w:r>
        <w:t xml:space="preserve"> - </w:t>
      </w:r>
      <w:r w:rsidRPr="00CD1230">
        <w:t>Female Facilities Program</w:t>
      </w:r>
    </w:p>
    <w:p w:rsidR="004960A8" w:rsidRPr="001D33DB" w:rsidRDefault="004960A8" w:rsidP="004960A8">
      <w:pPr>
        <w:rPr>
          <w:rFonts w:ascii="Arial" w:hAnsi="Arial" w:cs="Arial"/>
        </w:rPr>
      </w:pPr>
      <w:r>
        <w:rPr>
          <w:rFonts w:ascii="Arial" w:hAnsi="Arial" w:cs="Arial"/>
        </w:rPr>
        <w:t xml:space="preserve">IMAGE: </w:t>
      </w:r>
      <w:r w:rsidR="001D33DB" w:rsidRPr="001D33DB">
        <w:rPr>
          <w:rFonts w:ascii="Arial" w:hAnsi="Arial" w:cs="Arial"/>
        </w:rPr>
        <w:t>W-LEAGUE MATCH BETWEEN THE BRISBANE ROAR AND MELBOURNE VICTORY AT SUNCORP STADIUM ON JANUARY 5, 2018 IN BRISBANE, AUSTRALIA. (PHOTO BY BRETT HEMMINGS/GETTY IMAGES)</w:t>
      </w:r>
    </w:p>
    <w:p w:rsidR="004960A8" w:rsidRDefault="004960A8" w:rsidP="004960A8">
      <w:pPr>
        <w:rPr>
          <w:rFonts w:ascii="Arial" w:hAnsi="Arial" w:cs="Arial"/>
        </w:rPr>
      </w:pPr>
    </w:p>
    <w:p w:rsidR="004960A8" w:rsidRPr="00C96F1A" w:rsidRDefault="004960A8" w:rsidP="004960A8">
      <w:pPr>
        <w:rPr>
          <w:rFonts w:ascii="Arial" w:hAnsi="Arial" w:cs="Arial"/>
        </w:rPr>
      </w:pPr>
      <w:r w:rsidRPr="00C96F1A">
        <w:rPr>
          <w:rFonts w:ascii="Arial" w:hAnsi="Arial" w:cs="Arial"/>
        </w:rPr>
        <w:t>Women’s sport is growing rapidly, as more and more women respond to the call to ‘Get Active Queensland’.</w:t>
      </w:r>
    </w:p>
    <w:p w:rsidR="004960A8" w:rsidRPr="00C96F1A" w:rsidRDefault="004960A8" w:rsidP="004960A8">
      <w:pPr>
        <w:rPr>
          <w:rFonts w:ascii="Arial" w:hAnsi="Arial" w:cs="Arial"/>
        </w:rPr>
      </w:pPr>
      <w:r w:rsidRPr="00C96F1A">
        <w:rPr>
          <w:rFonts w:ascii="Arial" w:hAnsi="Arial" w:cs="Arial"/>
        </w:rPr>
        <w:t>The Female Facilities Program is playing an important role in supporting the Queensland Government’s Get in the Game initiative to support sport and active recreation at</w:t>
      </w:r>
      <w:r>
        <w:rPr>
          <w:rFonts w:ascii="Arial" w:hAnsi="Arial" w:cs="Arial"/>
        </w:rPr>
        <w:t xml:space="preserve"> </w:t>
      </w:r>
      <w:r w:rsidRPr="00C96F1A">
        <w:rPr>
          <w:rFonts w:ascii="Arial" w:hAnsi="Arial" w:cs="Arial"/>
        </w:rPr>
        <w:t>the grassroots level.</w:t>
      </w:r>
    </w:p>
    <w:p w:rsidR="004960A8" w:rsidRPr="00C96F1A" w:rsidRDefault="004960A8" w:rsidP="004960A8">
      <w:pPr>
        <w:rPr>
          <w:rFonts w:ascii="Arial" w:hAnsi="Arial" w:cs="Arial"/>
        </w:rPr>
      </w:pPr>
      <w:r w:rsidRPr="00C96F1A">
        <w:rPr>
          <w:rFonts w:ascii="Arial" w:hAnsi="Arial" w:cs="Arial"/>
        </w:rPr>
        <w:t>Local sport and recreation organisations, as well as local government, are using the funding to develop functional and inclusive female change rooms and amenities needed to support growing numbers of participants.</w:t>
      </w:r>
    </w:p>
    <w:p w:rsidR="004960A8" w:rsidRPr="00C96F1A" w:rsidRDefault="004960A8" w:rsidP="004960A8">
      <w:pPr>
        <w:rPr>
          <w:rFonts w:ascii="Arial" w:hAnsi="Arial" w:cs="Arial"/>
        </w:rPr>
      </w:pPr>
      <w:r w:rsidRPr="00C96F1A">
        <w:rPr>
          <w:rFonts w:ascii="Arial" w:hAnsi="Arial" w:cs="Arial"/>
        </w:rPr>
        <w:t>Centrals Trinity Beach AFL Club applied for the program after surveying their female athletes and finding they wanted their own space and to feel comfortable in the change room.</w:t>
      </w:r>
    </w:p>
    <w:p w:rsidR="004960A8" w:rsidRPr="00C96F1A" w:rsidRDefault="004960A8" w:rsidP="004960A8">
      <w:pPr>
        <w:rPr>
          <w:rFonts w:ascii="Arial" w:hAnsi="Arial" w:cs="Arial"/>
        </w:rPr>
      </w:pPr>
      <w:r w:rsidRPr="00C96F1A">
        <w:rPr>
          <w:rFonts w:ascii="Arial" w:hAnsi="Arial" w:cs="Arial"/>
        </w:rPr>
        <w:t>President John Burrell said the club had been mainly male- based since 1958 until the early 2000s.</w:t>
      </w:r>
    </w:p>
    <w:p w:rsidR="004960A8" w:rsidRPr="00C96F1A" w:rsidRDefault="004960A8" w:rsidP="004960A8">
      <w:pPr>
        <w:rPr>
          <w:rFonts w:ascii="Arial" w:hAnsi="Arial" w:cs="Arial"/>
        </w:rPr>
      </w:pPr>
      <w:r w:rsidRPr="00C96F1A">
        <w:rPr>
          <w:rFonts w:ascii="Arial" w:hAnsi="Arial" w:cs="Arial"/>
        </w:rPr>
        <w:t>“We thought having separate facilities was really important in terms of getting extra women involved in football, hence the application for the grant,” John said.</w:t>
      </w:r>
    </w:p>
    <w:p w:rsidR="004960A8" w:rsidRPr="00C96F1A" w:rsidRDefault="004960A8" w:rsidP="004960A8">
      <w:pPr>
        <w:rPr>
          <w:rFonts w:ascii="Arial" w:hAnsi="Arial" w:cs="Arial"/>
        </w:rPr>
      </w:pPr>
      <w:r w:rsidRPr="00C96F1A">
        <w:rPr>
          <w:rFonts w:ascii="Arial" w:hAnsi="Arial" w:cs="Arial"/>
        </w:rPr>
        <w:t>The club worked closely with Alexi Sachlikidis an Advisor for Sport and Recreation Services who assisted them through the grant application process.</w:t>
      </w:r>
    </w:p>
    <w:p w:rsidR="004960A8" w:rsidRPr="00C96F1A" w:rsidRDefault="004960A8" w:rsidP="004960A8">
      <w:pPr>
        <w:rPr>
          <w:rFonts w:ascii="Arial" w:hAnsi="Arial" w:cs="Arial"/>
        </w:rPr>
      </w:pPr>
      <w:r w:rsidRPr="00C96F1A">
        <w:rPr>
          <w:rFonts w:ascii="Arial" w:hAnsi="Arial" w:cs="Arial"/>
        </w:rPr>
        <w:t>“The support we got from Alexi was outstanding,” John said. “Sometimes there’s a critical piece of infrastructure missing that could actually be a real catalyst for change and for growth or to accommodate that local community better.”</w:t>
      </w:r>
    </w:p>
    <w:p w:rsidR="004960A8" w:rsidRPr="00C96F1A" w:rsidRDefault="004960A8" w:rsidP="004960A8">
      <w:pPr>
        <w:rPr>
          <w:rFonts w:ascii="Arial" w:hAnsi="Arial" w:cs="Arial"/>
        </w:rPr>
      </w:pPr>
      <w:r w:rsidRPr="00C96F1A">
        <w:rPr>
          <w:rFonts w:ascii="Arial" w:hAnsi="Arial" w:cs="Arial"/>
        </w:rPr>
        <w:t>John said the club has seen tremendous growth in young girls participating in AFL.</w:t>
      </w:r>
    </w:p>
    <w:p w:rsidR="004960A8" w:rsidRPr="00C96F1A" w:rsidRDefault="004960A8" w:rsidP="004960A8">
      <w:pPr>
        <w:rPr>
          <w:rFonts w:ascii="Arial" w:hAnsi="Arial" w:cs="Arial"/>
        </w:rPr>
      </w:pPr>
      <w:r w:rsidRPr="00C96F1A">
        <w:rPr>
          <w:rFonts w:ascii="Arial" w:hAnsi="Arial" w:cs="Arial"/>
        </w:rPr>
        <w:t>“In 2012 we had about 20 young ladies playing football.</w:t>
      </w:r>
    </w:p>
    <w:p w:rsidR="004960A8" w:rsidRPr="00C96F1A" w:rsidRDefault="004960A8" w:rsidP="004960A8">
      <w:pPr>
        <w:rPr>
          <w:rFonts w:ascii="Arial" w:hAnsi="Arial" w:cs="Arial"/>
        </w:rPr>
      </w:pPr>
      <w:r w:rsidRPr="00C96F1A">
        <w:rPr>
          <w:rFonts w:ascii="Arial" w:hAnsi="Arial" w:cs="Arial"/>
        </w:rPr>
        <w:t>As of this year, we have 50 registered youth girls and 35 registered senior women at our football club, and I strongly believe that that wouldn’t have happened without this facility.”</w:t>
      </w:r>
    </w:p>
    <w:p w:rsidR="004960A8" w:rsidRPr="00C96F1A" w:rsidRDefault="004960A8" w:rsidP="004960A8">
      <w:pPr>
        <w:rPr>
          <w:rFonts w:ascii="Arial" w:hAnsi="Arial" w:cs="Arial"/>
        </w:rPr>
      </w:pPr>
      <w:r w:rsidRPr="00C96F1A">
        <w:rPr>
          <w:rFonts w:ascii="Arial" w:hAnsi="Arial" w:cs="Arial"/>
        </w:rPr>
        <w:t>In May 2018 a total of 45 projects were approved at a cost of over $15 million. Departmental staff will continue to work closely with the successful sporting groups to deliver the projects which are due for completion in 2020.</w:t>
      </w:r>
    </w:p>
    <w:p w:rsidR="004960A8" w:rsidRDefault="004960A8" w:rsidP="004960A8">
      <w:pPr>
        <w:spacing w:before="0" w:after="0"/>
        <w:rPr>
          <w:rFonts w:ascii="Arial" w:hAnsi="Arial" w:cs="Arial"/>
        </w:rPr>
      </w:pPr>
      <w:r>
        <w:rPr>
          <w:rFonts w:ascii="Arial" w:hAnsi="Arial" w:cs="Arial"/>
        </w:rPr>
        <w:br w:type="page"/>
      </w:r>
    </w:p>
    <w:p w:rsidR="0028598A" w:rsidRPr="00C96F1A" w:rsidRDefault="00B625AF" w:rsidP="00CC6E4B">
      <w:pPr>
        <w:pStyle w:val="Heading1"/>
      </w:pPr>
      <w:bookmarkStart w:id="39" w:name="_Toc528845967"/>
      <w:r w:rsidRPr="00C96F1A">
        <w:lastRenderedPageBreak/>
        <w:t xml:space="preserve">Our Commercialised Business </w:t>
      </w:r>
      <w:bookmarkEnd w:id="38"/>
      <w:r w:rsidRPr="00C96F1A">
        <w:t>Units</w:t>
      </w:r>
      <w:bookmarkEnd w:id="39"/>
    </w:p>
    <w:p w:rsidR="0028598A" w:rsidRPr="00C96F1A" w:rsidRDefault="00B625AF" w:rsidP="00247724">
      <w:pPr>
        <w:pStyle w:val="Heading2"/>
      </w:pPr>
      <w:bookmarkStart w:id="40" w:name="_TOC_250018"/>
      <w:bookmarkStart w:id="41" w:name="_Toc528845968"/>
      <w:r w:rsidRPr="00C96F1A">
        <w:t xml:space="preserve">Building and Asset </w:t>
      </w:r>
      <w:bookmarkEnd w:id="40"/>
      <w:r w:rsidRPr="00C96F1A">
        <w:t>Services</w:t>
      </w:r>
      <w:bookmarkEnd w:id="41"/>
    </w:p>
    <w:p w:rsidR="0028598A" w:rsidRPr="00C96F1A" w:rsidRDefault="00B625AF" w:rsidP="00247724">
      <w:pPr>
        <w:pStyle w:val="Heading3"/>
      </w:pPr>
      <w:r w:rsidRPr="00C96F1A">
        <w:t>Our objective</w:t>
      </w:r>
    </w:p>
    <w:p w:rsidR="0028598A" w:rsidRPr="00C96F1A" w:rsidRDefault="00B625AF" w:rsidP="00C96F1A">
      <w:pPr>
        <w:rPr>
          <w:rFonts w:ascii="Arial" w:hAnsi="Arial" w:cs="Arial"/>
        </w:rPr>
      </w:pPr>
      <w:r w:rsidRPr="00C96F1A">
        <w:rPr>
          <w:rFonts w:ascii="Arial" w:hAnsi="Arial" w:cs="Arial"/>
        </w:rPr>
        <w:t>To partner with government agencies to strategically manage their building, construction and maintenance activities.</w:t>
      </w:r>
    </w:p>
    <w:p w:rsidR="0028598A" w:rsidRPr="00C96F1A" w:rsidRDefault="00B625AF" w:rsidP="00247724">
      <w:pPr>
        <w:pStyle w:val="Heading3"/>
      </w:pPr>
      <w:r w:rsidRPr="00C96F1A">
        <w:t>What we do</w:t>
      </w:r>
    </w:p>
    <w:p w:rsidR="0028598A" w:rsidRPr="00C96F1A" w:rsidRDefault="00980564" w:rsidP="00C96F1A">
      <w:pPr>
        <w:rPr>
          <w:rFonts w:ascii="Arial" w:hAnsi="Arial" w:cs="Arial"/>
        </w:rPr>
      </w:pPr>
      <w:r w:rsidRPr="00980564">
        <w:rPr>
          <w:rFonts w:ascii="Arial" w:hAnsi="Arial" w:cs="Arial"/>
        </w:rPr>
        <w:t>Building and Asset Services, in partnership with Queensland Government agencies, supports strategic asset management by managing risks for diverse building asset portfolios and providing expertise in the planning, procurement and delivery of new building infrastructure, asset and facilities management. In doing so, Building and Asset Services works closely with industry and local suppliers to maximise value for money procurement and contract management outcomes. This assists government agencies to meet their service delivery outcomes for the community and provide employment opportunities across the state including in regional and remote communities.</w:t>
      </w:r>
    </w:p>
    <w:p w:rsidR="0028598A" w:rsidRDefault="0028598A" w:rsidP="00C96F1A">
      <w:pPr>
        <w:rPr>
          <w:rFonts w:ascii="Arial" w:hAnsi="Arial" w:cs="Arial"/>
        </w:rPr>
      </w:pPr>
    </w:p>
    <w:p w:rsidR="009E0D95" w:rsidRPr="00C96F1A" w:rsidRDefault="009E0D95" w:rsidP="009E0D95">
      <w:pPr>
        <w:pStyle w:val="Heading3"/>
      </w:pPr>
      <w:r>
        <w:t>Key Statistic</w:t>
      </w:r>
    </w:p>
    <w:p w:rsidR="0028598A" w:rsidRPr="00C96F1A" w:rsidRDefault="00B625AF" w:rsidP="00C96F1A">
      <w:pPr>
        <w:rPr>
          <w:rFonts w:ascii="Arial" w:hAnsi="Arial" w:cs="Arial"/>
        </w:rPr>
      </w:pPr>
      <w:r w:rsidRPr="00C96F1A">
        <w:rPr>
          <w:rFonts w:ascii="Arial" w:hAnsi="Arial" w:cs="Arial"/>
        </w:rPr>
        <w:t>The Building and Asset Services Apprenticeship Program commenced, with regional panel interviews conducted by 22 June 2018.</w:t>
      </w:r>
    </w:p>
    <w:p w:rsidR="0028598A" w:rsidRPr="00C96F1A" w:rsidRDefault="00B625AF" w:rsidP="00C96F1A">
      <w:pPr>
        <w:rPr>
          <w:rFonts w:ascii="Arial" w:hAnsi="Arial" w:cs="Arial"/>
        </w:rPr>
      </w:pPr>
      <w:r w:rsidRPr="00C96F1A">
        <w:rPr>
          <w:rFonts w:ascii="Arial" w:hAnsi="Arial" w:cs="Arial"/>
        </w:rPr>
        <w:t>17 recommended applicants have been approved for appointment.</w:t>
      </w:r>
    </w:p>
    <w:p w:rsidR="0028598A" w:rsidRPr="00C96F1A" w:rsidRDefault="00B625AF" w:rsidP="00247724">
      <w:pPr>
        <w:pStyle w:val="Heading3"/>
      </w:pPr>
      <w:r w:rsidRPr="00C96F1A">
        <w:br w:type="column"/>
      </w:r>
      <w:r w:rsidRPr="00C96F1A">
        <w:lastRenderedPageBreak/>
        <w:t>Our achievements</w:t>
      </w:r>
    </w:p>
    <w:p w:rsidR="0028598A" w:rsidRPr="00C96F1A" w:rsidRDefault="00B625AF" w:rsidP="00887FDD">
      <w:pPr>
        <w:pStyle w:val="Heading6"/>
      </w:pPr>
      <w:r w:rsidRPr="00C96F1A">
        <w:t>Supporting regional and remote communities</w:t>
      </w:r>
    </w:p>
    <w:p w:rsidR="0028598A" w:rsidRPr="00C96F1A" w:rsidRDefault="00B625AF" w:rsidP="00C96F1A">
      <w:pPr>
        <w:rPr>
          <w:rFonts w:ascii="Arial" w:hAnsi="Arial" w:cs="Arial"/>
        </w:rPr>
      </w:pPr>
      <w:r w:rsidRPr="00C96F1A">
        <w:rPr>
          <w:rFonts w:ascii="Arial" w:hAnsi="Arial" w:cs="Arial"/>
        </w:rPr>
        <w:t>We continued to support outcomes and deliver employment opportunities across Queensland through our procurement and delivery activities.</w:t>
      </w:r>
    </w:p>
    <w:p w:rsidR="0028598A" w:rsidRPr="00C96F1A" w:rsidRDefault="00B625AF" w:rsidP="00C96F1A">
      <w:pPr>
        <w:rPr>
          <w:rFonts w:ascii="Arial" w:hAnsi="Arial" w:cs="Arial"/>
        </w:rPr>
      </w:pPr>
      <w:r w:rsidRPr="00C96F1A">
        <w:rPr>
          <w:rFonts w:ascii="Arial" w:hAnsi="Arial" w:cs="Arial"/>
        </w:rPr>
        <w:t>In 2017–18, we:</w:t>
      </w:r>
    </w:p>
    <w:p w:rsidR="009A7A10" w:rsidRPr="009A7A10" w:rsidRDefault="009A7A10" w:rsidP="00D806AE">
      <w:pPr>
        <w:pStyle w:val="ListParagraph"/>
        <w:numPr>
          <w:ilvl w:val="0"/>
          <w:numId w:val="91"/>
        </w:numPr>
        <w:rPr>
          <w:rFonts w:ascii="Arial" w:hAnsi="Arial" w:cs="Arial"/>
        </w:rPr>
      </w:pPr>
      <w:r w:rsidRPr="009A7A10">
        <w:rPr>
          <w:rFonts w:ascii="Arial" w:hAnsi="Arial" w:cs="Arial"/>
        </w:rPr>
        <w:t xml:space="preserve">strengthened our procurement engagement with local and regional communities by developing a category management approach for building, construction and maintenance work </w:t>
      </w:r>
    </w:p>
    <w:p w:rsidR="009A7A10" w:rsidRPr="009A7A10" w:rsidRDefault="009A7A10" w:rsidP="00D806AE">
      <w:pPr>
        <w:pStyle w:val="ListParagraph"/>
        <w:numPr>
          <w:ilvl w:val="0"/>
          <w:numId w:val="91"/>
        </w:numPr>
        <w:rPr>
          <w:rFonts w:ascii="Arial" w:hAnsi="Arial" w:cs="Arial"/>
        </w:rPr>
      </w:pPr>
      <w:r w:rsidRPr="009A7A10">
        <w:rPr>
          <w:rFonts w:ascii="Arial" w:hAnsi="Arial" w:cs="Arial"/>
        </w:rPr>
        <w:t xml:space="preserve">implemented sustainable social procurement practices that contribute to building stronger communities </w:t>
      </w:r>
    </w:p>
    <w:p w:rsidR="009A7A10" w:rsidRPr="009A7A10" w:rsidRDefault="009A7A10" w:rsidP="00D806AE">
      <w:pPr>
        <w:pStyle w:val="ListParagraph"/>
        <w:numPr>
          <w:ilvl w:val="0"/>
          <w:numId w:val="91"/>
        </w:numPr>
        <w:rPr>
          <w:rFonts w:ascii="Arial" w:hAnsi="Arial" w:cs="Arial"/>
        </w:rPr>
      </w:pPr>
      <w:r w:rsidRPr="009A7A10">
        <w:rPr>
          <w:rFonts w:ascii="Arial" w:hAnsi="Arial" w:cs="Arial"/>
        </w:rPr>
        <w:t xml:space="preserve">delivered capital and maintenance programs in partnership with Aboriginal and Torres Strait Islander Councils, maximising employment opportunities and providing economic stimulation to remote communities </w:t>
      </w:r>
    </w:p>
    <w:p w:rsidR="009A7A10" w:rsidRPr="009A7A10" w:rsidRDefault="009A7A10" w:rsidP="00D806AE">
      <w:pPr>
        <w:pStyle w:val="ListParagraph"/>
        <w:numPr>
          <w:ilvl w:val="0"/>
          <w:numId w:val="91"/>
        </w:numPr>
        <w:rPr>
          <w:rFonts w:ascii="Arial" w:hAnsi="Arial" w:cs="Arial"/>
        </w:rPr>
      </w:pPr>
      <w:r w:rsidRPr="009A7A10">
        <w:rPr>
          <w:rFonts w:ascii="Arial" w:hAnsi="Arial" w:cs="Arial"/>
        </w:rPr>
        <w:t xml:space="preserve">facilitated swifter access to housing in Aboriginal and Torres Strait Islander communities by reducing preconstruction planning and procurement timeframes </w:t>
      </w:r>
    </w:p>
    <w:p w:rsidR="009A7A10" w:rsidRPr="009A7A10" w:rsidRDefault="009A7A10" w:rsidP="00D806AE">
      <w:pPr>
        <w:pStyle w:val="ListParagraph"/>
        <w:numPr>
          <w:ilvl w:val="0"/>
          <w:numId w:val="91"/>
        </w:numPr>
        <w:rPr>
          <w:rFonts w:ascii="Arial" w:hAnsi="Arial" w:cs="Arial"/>
        </w:rPr>
      </w:pPr>
      <w:r w:rsidRPr="009A7A10">
        <w:rPr>
          <w:rFonts w:ascii="Arial" w:hAnsi="Arial" w:cs="Arial"/>
        </w:rPr>
        <w:t xml:space="preserve">reintroduced the statewide Building and Asset Services Apprenticeship Program, paving the way for a new generation of qualified staff to deliver services across Queensland and provide employment in regional areas. </w:t>
      </w:r>
    </w:p>
    <w:p w:rsidR="0028598A" w:rsidRPr="00C96F1A" w:rsidRDefault="00B625AF" w:rsidP="00887FDD">
      <w:pPr>
        <w:pStyle w:val="Heading6"/>
      </w:pPr>
      <w:r w:rsidRPr="00C96F1A">
        <w:t>Safer, more secure homes</w:t>
      </w:r>
    </w:p>
    <w:p w:rsidR="0028598A" w:rsidRPr="00C96F1A" w:rsidRDefault="00B625AF" w:rsidP="00C96F1A">
      <w:pPr>
        <w:rPr>
          <w:rFonts w:ascii="Arial" w:hAnsi="Arial" w:cs="Arial"/>
        </w:rPr>
      </w:pPr>
      <w:r w:rsidRPr="00C96F1A">
        <w:rPr>
          <w:rFonts w:ascii="Arial" w:hAnsi="Arial" w:cs="Arial"/>
        </w:rPr>
        <w:t>We delivered a number of initiatives aimed at improving safety in social housing and government employee housing.</w:t>
      </w:r>
    </w:p>
    <w:p w:rsidR="0028598A" w:rsidRPr="00C96F1A" w:rsidRDefault="00B625AF" w:rsidP="00C96F1A">
      <w:pPr>
        <w:rPr>
          <w:rFonts w:ascii="Arial" w:hAnsi="Arial" w:cs="Arial"/>
        </w:rPr>
      </w:pPr>
      <w:r w:rsidRPr="00C96F1A">
        <w:rPr>
          <w:rFonts w:ascii="Arial" w:hAnsi="Arial" w:cs="Arial"/>
        </w:rPr>
        <w:t>In 2017–18, we:</w:t>
      </w:r>
    </w:p>
    <w:p w:rsidR="0028598A" w:rsidRPr="00887FDD" w:rsidRDefault="00B625AF" w:rsidP="00D806AE">
      <w:pPr>
        <w:pStyle w:val="ListParagraph"/>
        <w:numPr>
          <w:ilvl w:val="0"/>
          <w:numId w:val="93"/>
        </w:numPr>
        <w:rPr>
          <w:rFonts w:ascii="Arial" w:hAnsi="Arial" w:cs="Arial"/>
        </w:rPr>
      </w:pPr>
      <w:r w:rsidRPr="00887FDD">
        <w:rPr>
          <w:rFonts w:ascii="Arial" w:hAnsi="Arial" w:cs="Arial"/>
        </w:rPr>
        <w:t>established the whole-of-government program framework for the supply and installation of smoke alarms in social and government employee housing dwellings</w:t>
      </w:r>
    </w:p>
    <w:p w:rsidR="0028598A" w:rsidRPr="00887FDD" w:rsidRDefault="00B625AF" w:rsidP="00D806AE">
      <w:pPr>
        <w:pStyle w:val="ListParagraph"/>
        <w:numPr>
          <w:ilvl w:val="0"/>
          <w:numId w:val="93"/>
        </w:numPr>
        <w:rPr>
          <w:rFonts w:ascii="Arial" w:hAnsi="Arial" w:cs="Arial"/>
        </w:rPr>
      </w:pPr>
      <w:r w:rsidRPr="00887FDD">
        <w:rPr>
          <w:rFonts w:ascii="Arial" w:hAnsi="Arial" w:cs="Arial"/>
        </w:rPr>
        <w:t>established a state-wide supply panel to support the smoke alarm program comprised of six suppliers, three manufacturers and access to 132 stores across Queensland</w:t>
      </w:r>
    </w:p>
    <w:p w:rsidR="0028598A" w:rsidRPr="00887FDD" w:rsidRDefault="00B625AF" w:rsidP="00D806AE">
      <w:pPr>
        <w:pStyle w:val="ListParagraph"/>
        <w:numPr>
          <w:ilvl w:val="0"/>
          <w:numId w:val="93"/>
        </w:numPr>
        <w:rPr>
          <w:rFonts w:ascii="Arial" w:hAnsi="Arial" w:cs="Arial"/>
        </w:rPr>
      </w:pPr>
      <w:r w:rsidRPr="00887FDD">
        <w:rPr>
          <w:rFonts w:ascii="Arial" w:hAnsi="Arial" w:cs="Arial"/>
        </w:rPr>
        <w:t>developed a targeted and accelerated four-year capital, maintenance and upgrade program for government employee housing.</w:t>
      </w:r>
    </w:p>
    <w:p w:rsidR="0028598A" w:rsidRPr="00C96F1A" w:rsidRDefault="00B625AF" w:rsidP="00247724">
      <w:pPr>
        <w:pStyle w:val="Heading3"/>
      </w:pPr>
      <w:r w:rsidRPr="00C96F1A">
        <w:t>Our future focus</w:t>
      </w:r>
    </w:p>
    <w:p w:rsidR="0028598A" w:rsidRPr="00C96F1A" w:rsidRDefault="00B625AF" w:rsidP="00C96F1A">
      <w:pPr>
        <w:rPr>
          <w:rFonts w:ascii="Arial" w:hAnsi="Arial" w:cs="Arial"/>
        </w:rPr>
      </w:pPr>
      <w:r w:rsidRPr="00C96F1A">
        <w:rPr>
          <w:rFonts w:ascii="Arial" w:hAnsi="Arial" w:cs="Arial"/>
        </w:rPr>
        <w:t>In 2018–19, the department will continue to deliver responsive and efficient initiatives that make a difference to Queenslanders by:</w:t>
      </w:r>
    </w:p>
    <w:p w:rsidR="0028598A" w:rsidRPr="00887FDD" w:rsidRDefault="00B625AF" w:rsidP="00D806AE">
      <w:pPr>
        <w:pStyle w:val="ListParagraph"/>
        <w:numPr>
          <w:ilvl w:val="0"/>
          <w:numId w:val="94"/>
        </w:numPr>
        <w:rPr>
          <w:rFonts w:ascii="Arial" w:hAnsi="Arial" w:cs="Arial"/>
        </w:rPr>
      </w:pPr>
      <w:r w:rsidRPr="00887FDD">
        <w:rPr>
          <w:rFonts w:ascii="Arial" w:hAnsi="Arial" w:cs="Arial"/>
        </w:rPr>
        <w:t>partnering with Queensland Government agencies to manage their service delivery needs across a wide range of strategic asset management portfolios, including project and construction management</w:t>
      </w:r>
    </w:p>
    <w:p w:rsidR="0028598A" w:rsidRPr="00887FDD" w:rsidRDefault="00B625AF" w:rsidP="00D806AE">
      <w:pPr>
        <w:pStyle w:val="ListParagraph"/>
        <w:numPr>
          <w:ilvl w:val="0"/>
          <w:numId w:val="94"/>
        </w:numPr>
        <w:rPr>
          <w:rFonts w:ascii="Arial" w:hAnsi="Arial" w:cs="Arial"/>
        </w:rPr>
      </w:pPr>
      <w:r w:rsidRPr="00887FDD">
        <w:rPr>
          <w:rFonts w:ascii="Arial" w:hAnsi="Arial" w:cs="Arial"/>
        </w:rPr>
        <w:t xml:space="preserve">implementing the enhanced </w:t>
      </w:r>
      <w:r w:rsidRPr="00887FDD">
        <w:rPr>
          <w:rFonts w:ascii="Arial" w:hAnsi="Arial" w:cs="Arial"/>
          <w:i/>
        </w:rPr>
        <w:t>Queensland Procurement Policy</w:t>
      </w:r>
      <w:r w:rsidRPr="00887FDD">
        <w:rPr>
          <w:rFonts w:ascii="Arial" w:hAnsi="Arial" w:cs="Arial"/>
        </w:rPr>
        <w:t xml:space="preserve"> government commitments to further harness procurement spend to help drive local employment and build prosperity in our regions</w:t>
      </w:r>
    </w:p>
    <w:p w:rsidR="0028598A" w:rsidRPr="00887FDD" w:rsidRDefault="00B625AF" w:rsidP="00D806AE">
      <w:pPr>
        <w:pStyle w:val="ListParagraph"/>
        <w:numPr>
          <w:ilvl w:val="0"/>
          <w:numId w:val="94"/>
        </w:numPr>
        <w:rPr>
          <w:rFonts w:ascii="Arial" w:hAnsi="Arial" w:cs="Arial"/>
        </w:rPr>
      </w:pPr>
      <w:r w:rsidRPr="00887FDD">
        <w:rPr>
          <w:rFonts w:ascii="Arial" w:hAnsi="Arial" w:cs="Arial"/>
        </w:rPr>
        <w:t>implementing the revitalised state-wide Building and Asset Services Apprenticeship Program, creating employment opportunities and supporting pathways to training, skills and jobs</w:t>
      </w:r>
    </w:p>
    <w:p w:rsidR="0028598A" w:rsidRPr="00887FDD" w:rsidRDefault="00B625AF" w:rsidP="00D806AE">
      <w:pPr>
        <w:pStyle w:val="ListParagraph"/>
        <w:numPr>
          <w:ilvl w:val="0"/>
          <w:numId w:val="94"/>
        </w:numPr>
        <w:rPr>
          <w:rFonts w:ascii="Arial" w:hAnsi="Arial" w:cs="Arial"/>
        </w:rPr>
      </w:pPr>
      <w:r w:rsidRPr="00887FDD">
        <w:rPr>
          <w:rFonts w:ascii="Arial" w:hAnsi="Arial" w:cs="Arial"/>
        </w:rPr>
        <w:t>implementing the smoke alarm program to social housing and government employee housing dwellings to meet Queensland Fire and Emergency Services legislative requirements.</w:t>
      </w:r>
    </w:p>
    <w:p w:rsidR="00887FDD" w:rsidRDefault="00B625AF" w:rsidP="00AD1337">
      <w:pPr>
        <w:pStyle w:val="Heading3"/>
      </w:pPr>
      <w:r w:rsidRPr="00C96F1A">
        <w:lastRenderedPageBreak/>
        <w:t>Service standards</w:t>
      </w:r>
    </w:p>
    <w:tbl>
      <w:tblPr>
        <w:tblW w:w="9883" w:type="dxa"/>
        <w:tblInd w:w="-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1E0" w:firstRow="1" w:lastRow="1" w:firstColumn="1" w:lastColumn="1" w:noHBand="0" w:noVBand="0"/>
      </w:tblPr>
      <w:tblGrid>
        <w:gridCol w:w="7377"/>
        <w:gridCol w:w="1246"/>
        <w:gridCol w:w="1260"/>
      </w:tblGrid>
      <w:tr w:rsidR="00887FDD" w:rsidRPr="002C4058" w:rsidTr="00D32A5E">
        <w:trPr>
          <w:tblHeader/>
        </w:trPr>
        <w:tc>
          <w:tcPr>
            <w:tcW w:w="7377" w:type="dxa"/>
            <w:shd w:val="clear" w:color="auto" w:fill="000000" w:themeFill="text1"/>
            <w:vAlign w:val="center"/>
            <w:hideMark/>
          </w:tcPr>
          <w:p w:rsidR="00887FDD" w:rsidRPr="002C4058" w:rsidRDefault="00887FDD" w:rsidP="00D32A5E">
            <w:pPr>
              <w:pStyle w:val="TableTextHeading"/>
              <w:jc w:val="left"/>
              <w:rPr>
                <w:color w:val="FFFFFF" w:themeColor="background1"/>
              </w:rPr>
            </w:pPr>
            <w:r w:rsidRPr="11284B68">
              <w:rPr>
                <w:color w:val="FFFFFF" w:themeColor="background1"/>
              </w:rPr>
              <w:t>Building and Asset Services</w:t>
            </w:r>
          </w:p>
        </w:tc>
        <w:tc>
          <w:tcPr>
            <w:tcW w:w="1246" w:type="dxa"/>
            <w:shd w:val="clear" w:color="auto" w:fill="000000" w:themeFill="text1"/>
            <w:vAlign w:val="center"/>
            <w:hideMark/>
          </w:tcPr>
          <w:p w:rsidR="00887FDD" w:rsidRPr="002C4058" w:rsidRDefault="00887FDD" w:rsidP="00D32A5E">
            <w:pPr>
              <w:pStyle w:val="TableTextHeading"/>
              <w:rPr>
                <w:color w:val="FFFFFF" w:themeColor="background1"/>
              </w:rPr>
            </w:pPr>
            <w:r>
              <w:rPr>
                <w:color w:val="FFFFFF" w:themeColor="background1"/>
              </w:rPr>
              <w:t>2017–18</w:t>
            </w:r>
          </w:p>
          <w:p w:rsidR="00887FDD" w:rsidRPr="002C4058" w:rsidRDefault="00887FDD" w:rsidP="00D32A5E">
            <w:pPr>
              <w:pStyle w:val="TableTextHeading"/>
              <w:rPr>
                <w:color w:val="FFFFFF" w:themeColor="background1"/>
              </w:rPr>
            </w:pPr>
            <w:r w:rsidRPr="11284B68">
              <w:rPr>
                <w:color w:val="FFFFFF" w:themeColor="background1"/>
              </w:rPr>
              <w:t>Target/Est.</w:t>
            </w:r>
          </w:p>
        </w:tc>
        <w:tc>
          <w:tcPr>
            <w:tcW w:w="1260" w:type="dxa"/>
            <w:shd w:val="clear" w:color="auto" w:fill="000000" w:themeFill="text1"/>
            <w:vAlign w:val="center"/>
            <w:hideMark/>
          </w:tcPr>
          <w:p w:rsidR="00887FDD" w:rsidRPr="002C4058" w:rsidRDefault="00887FDD" w:rsidP="00D32A5E">
            <w:pPr>
              <w:pStyle w:val="TableTextHeading"/>
              <w:rPr>
                <w:color w:val="FFFFFF" w:themeColor="background1"/>
              </w:rPr>
            </w:pPr>
            <w:r>
              <w:rPr>
                <w:color w:val="FFFFFF" w:themeColor="background1"/>
              </w:rPr>
              <w:t>2017–18</w:t>
            </w:r>
          </w:p>
          <w:p w:rsidR="00887FDD" w:rsidRPr="002C4058" w:rsidRDefault="00887FDD" w:rsidP="00D32A5E">
            <w:pPr>
              <w:pStyle w:val="TableTextHeading"/>
              <w:rPr>
                <w:color w:val="FFFFFF" w:themeColor="background1"/>
              </w:rPr>
            </w:pPr>
            <w:r w:rsidRPr="11284B68">
              <w:rPr>
                <w:color w:val="FFFFFF" w:themeColor="background1"/>
              </w:rPr>
              <w:t>Actual</w:t>
            </w:r>
          </w:p>
        </w:tc>
      </w:tr>
      <w:tr w:rsidR="00887FDD" w:rsidRPr="00DE340B" w:rsidTr="00D32A5E">
        <w:tc>
          <w:tcPr>
            <w:tcW w:w="7377" w:type="dxa"/>
            <w:shd w:val="clear" w:color="auto" w:fill="D9D9D9" w:themeFill="background1" w:themeFillShade="D9"/>
            <w:vAlign w:val="bottom"/>
          </w:tcPr>
          <w:p w:rsidR="00887FDD" w:rsidRPr="00A97AE6" w:rsidRDefault="00887FDD" w:rsidP="00D32A5E">
            <w:pPr>
              <w:pStyle w:val="TableTextItalics"/>
              <w:rPr>
                <w:b/>
                <w:bCs/>
              </w:rPr>
            </w:pPr>
            <w:r w:rsidRPr="001A70A7">
              <w:rPr>
                <w:b/>
                <w:bCs/>
              </w:rPr>
              <w:t>Effectiveness measures</w:t>
            </w:r>
          </w:p>
        </w:tc>
        <w:tc>
          <w:tcPr>
            <w:tcW w:w="1246" w:type="dxa"/>
            <w:shd w:val="clear" w:color="auto" w:fill="D9D9D9" w:themeFill="background1" w:themeFillShade="D9"/>
            <w:vAlign w:val="bottom"/>
          </w:tcPr>
          <w:p w:rsidR="00887FDD" w:rsidRPr="00DE340B" w:rsidRDefault="00887FDD" w:rsidP="00D32A5E">
            <w:pPr>
              <w:pStyle w:val="TableTextRight"/>
              <w:rPr>
                <w:b/>
              </w:rPr>
            </w:pPr>
          </w:p>
        </w:tc>
        <w:tc>
          <w:tcPr>
            <w:tcW w:w="1260" w:type="dxa"/>
            <w:shd w:val="clear" w:color="auto" w:fill="D9D9D9" w:themeFill="background1" w:themeFillShade="D9"/>
            <w:vAlign w:val="bottom"/>
          </w:tcPr>
          <w:p w:rsidR="00887FDD" w:rsidRPr="00DE340B" w:rsidRDefault="00887FDD" w:rsidP="00D32A5E">
            <w:pPr>
              <w:pStyle w:val="TableTextRight"/>
              <w:rPr>
                <w:b/>
              </w:rPr>
            </w:pPr>
          </w:p>
        </w:tc>
      </w:tr>
      <w:tr w:rsidR="00887FDD" w:rsidRPr="00246DD9" w:rsidTr="00D32A5E">
        <w:tc>
          <w:tcPr>
            <w:tcW w:w="7377" w:type="dxa"/>
            <w:tcBorders>
              <w:bottom w:val="nil"/>
            </w:tcBorders>
            <w:vAlign w:val="bottom"/>
            <w:hideMark/>
          </w:tcPr>
          <w:p w:rsidR="00887FDD" w:rsidRPr="006C320B" w:rsidRDefault="00887FDD" w:rsidP="00D32A5E">
            <w:pPr>
              <w:pStyle w:val="TableTextBold"/>
            </w:pPr>
            <w:r w:rsidRPr="006C320B">
              <w:t>Service standards</w:t>
            </w:r>
          </w:p>
          <w:p w:rsidR="00887FDD" w:rsidRPr="006C320B" w:rsidRDefault="00887FDD" w:rsidP="00D32A5E">
            <w:pPr>
              <w:pStyle w:val="TableText"/>
            </w:pPr>
            <w:r w:rsidRPr="006C320B">
              <w:t>Overall customer satisfaction</w:t>
            </w:r>
          </w:p>
        </w:tc>
        <w:tc>
          <w:tcPr>
            <w:tcW w:w="1246" w:type="dxa"/>
            <w:tcBorders>
              <w:bottom w:val="nil"/>
            </w:tcBorders>
            <w:vAlign w:val="bottom"/>
          </w:tcPr>
          <w:p w:rsidR="00887FDD" w:rsidRPr="006C320B" w:rsidRDefault="00887FDD" w:rsidP="00D32A5E">
            <w:pPr>
              <w:pStyle w:val="TableTextRight"/>
            </w:pPr>
            <w:r w:rsidRPr="001A70A7">
              <w:t>80%</w:t>
            </w:r>
          </w:p>
        </w:tc>
        <w:tc>
          <w:tcPr>
            <w:tcW w:w="1260" w:type="dxa"/>
            <w:tcBorders>
              <w:bottom w:val="nil"/>
            </w:tcBorders>
            <w:vAlign w:val="bottom"/>
          </w:tcPr>
          <w:p w:rsidR="00887FDD" w:rsidRPr="006C320B" w:rsidRDefault="00887FDD" w:rsidP="00D32A5E">
            <w:pPr>
              <w:pStyle w:val="TableTextRight"/>
            </w:pPr>
            <w:r w:rsidRPr="001A70A7">
              <w:t>84%</w:t>
            </w:r>
          </w:p>
        </w:tc>
      </w:tr>
      <w:tr w:rsidR="00887FDD" w:rsidRPr="00246DD9" w:rsidTr="00D32A5E">
        <w:tc>
          <w:tcPr>
            <w:tcW w:w="7377" w:type="dxa"/>
            <w:tcBorders>
              <w:top w:val="nil"/>
            </w:tcBorders>
            <w:vAlign w:val="bottom"/>
          </w:tcPr>
          <w:p w:rsidR="00887FDD" w:rsidRPr="005B7038" w:rsidRDefault="00887FDD" w:rsidP="00887FDD">
            <w:pPr>
              <w:pStyle w:val="Pa57"/>
              <w:spacing w:after="40"/>
              <w:rPr>
                <w:rFonts w:ascii="Arial Narrow" w:eastAsia="Arial Narrow" w:hAnsi="Arial Narrow" w:cs="Arial Narrow"/>
                <w:i/>
              </w:rPr>
            </w:pPr>
            <w:r w:rsidRPr="00887FDD">
              <w:rPr>
                <w:rFonts w:ascii="Arial Narrow" w:eastAsia="Arial Narrow" w:hAnsi="Arial Narrow" w:cs="Arial Narrow"/>
                <w:i/>
                <w:iCs/>
                <w:sz w:val="16"/>
                <w:szCs w:val="16"/>
              </w:rPr>
              <w:t xml:space="preserve">This is a biennial measure with the next survey to be undertaken in 2019–20. Variance between the 2017–18 Target/Estimate and 2017–18 Actual is due to BAS service alignment with customer agencies delivering on government priorities, which resulted in a better than anticipated result. </w:t>
            </w:r>
          </w:p>
        </w:tc>
        <w:tc>
          <w:tcPr>
            <w:tcW w:w="1246" w:type="dxa"/>
            <w:tcBorders>
              <w:top w:val="nil"/>
            </w:tcBorders>
            <w:vAlign w:val="bottom"/>
          </w:tcPr>
          <w:p w:rsidR="00887FDD" w:rsidRPr="006C320B" w:rsidRDefault="00887FDD" w:rsidP="00D32A5E">
            <w:pPr>
              <w:pStyle w:val="TableTextRight"/>
            </w:pPr>
          </w:p>
        </w:tc>
        <w:tc>
          <w:tcPr>
            <w:tcW w:w="1260" w:type="dxa"/>
            <w:tcBorders>
              <w:top w:val="nil"/>
            </w:tcBorders>
            <w:vAlign w:val="bottom"/>
          </w:tcPr>
          <w:p w:rsidR="00887FDD" w:rsidRDefault="00887FDD" w:rsidP="00D32A5E">
            <w:pPr>
              <w:pStyle w:val="TableTextRight"/>
            </w:pPr>
          </w:p>
        </w:tc>
      </w:tr>
      <w:tr w:rsidR="00887FDD" w:rsidRPr="00246DD9" w:rsidTr="00D32A5E">
        <w:tc>
          <w:tcPr>
            <w:tcW w:w="7377" w:type="dxa"/>
            <w:tcBorders>
              <w:bottom w:val="nil"/>
            </w:tcBorders>
            <w:vAlign w:val="bottom"/>
            <w:hideMark/>
          </w:tcPr>
          <w:p w:rsidR="00887FDD" w:rsidRPr="006C320B" w:rsidRDefault="00887FDD" w:rsidP="00D32A5E">
            <w:pPr>
              <w:pStyle w:val="TableText"/>
            </w:pPr>
            <w:r w:rsidRPr="006C320B">
              <w:t>Percentage of maintenance spend on Building and Asset Services customer facilities with regional suppliers</w:t>
            </w:r>
          </w:p>
        </w:tc>
        <w:tc>
          <w:tcPr>
            <w:tcW w:w="1246" w:type="dxa"/>
            <w:tcBorders>
              <w:bottom w:val="nil"/>
            </w:tcBorders>
            <w:vAlign w:val="bottom"/>
          </w:tcPr>
          <w:p w:rsidR="00887FDD" w:rsidRPr="006C320B" w:rsidRDefault="00887FDD" w:rsidP="00D32A5E">
            <w:pPr>
              <w:pStyle w:val="TableTextRight"/>
            </w:pPr>
            <w:r>
              <w:t>88</w:t>
            </w:r>
            <w:r w:rsidRPr="006C320B">
              <w:t>%</w:t>
            </w:r>
          </w:p>
        </w:tc>
        <w:tc>
          <w:tcPr>
            <w:tcW w:w="1260" w:type="dxa"/>
            <w:tcBorders>
              <w:bottom w:val="nil"/>
            </w:tcBorders>
            <w:vAlign w:val="bottom"/>
          </w:tcPr>
          <w:p w:rsidR="00887FDD" w:rsidRPr="006C320B" w:rsidRDefault="00887FDD" w:rsidP="00D32A5E">
            <w:pPr>
              <w:pStyle w:val="TableTextRight"/>
            </w:pPr>
            <w:r>
              <w:t>87</w:t>
            </w:r>
            <w:r w:rsidRPr="006C320B">
              <w:t>%</w:t>
            </w:r>
          </w:p>
        </w:tc>
      </w:tr>
      <w:tr w:rsidR="00887FDD" w:rsidRPr="00AE6204" w:rsidTr="00D32A5E">
        <w:tc>
          <w:tcPr>
            <w:tcW w:w="7377" w:type="dxa"/>
            <w:tcBorders>
              <w:top w:val="nil"/>
            </w:tcBorders>
            <w:shd w:val="clear" w:color="auto" w:fill="FFFFFF" w:themeFill="background1"/>
            <w:vAlign w:val="bottom"/>
          </w:tcPr>
          <w:p w:rsidR="00887FDD" w:rsidRPr="00887FDD" w:rsidRDefault="00887FDD" w:rsidP="00887FDD">
            <w:pPr>
              <w:pStyle w:val="Pa57"/>
              <w:spacing w:after="40"/>
              <w:rPr>
                <w:rFonts w:ascii="Arial Narrow" w:eastAsia="Arial Narrow" w:hAnsi="Arial Narrow" w:cs="Arial Narrow"/>
                <w:i/>
                <w:iCs/>
                <w:sz w:val="16"/>
                <w:szCs w:val="16"/>
              </w:rPr>
            </w:pPr>
            <w:r w:rsidRPr="00887FDD">
              <w:rPr>
                <w:rFonts w:ascii="Arial Narrow" w:eastAsia="Arial Narrow" w:hAnsi="Arial Narrow" w:cs="Arial Narrow"/>
                <w:i/>
                <w:iCs/>
                <w:sz w:val="16"/>
                <w:szCs w:val="16"/>
              </w:rPr>
              <w:t xml:space="preserve">The variance between 2017–18 Target/Estimate and 2017–18 Actual is due to the results calculated based on the spend with contractors inside the BAS region of where the work is located divided by the total expenditure. As this calculation methodology has not been updated to align with the 1 September 2017 release of the new Queensland Procurement Policy (QPP) and Buy Queensland Strategy (Strategy) requirements, the SDS target could not be achieved. The QPP and Strategy clearly defines local supplier (i.e. whether location of workforce is within radius of 125 km to location of work). This has resulted in BAS having to invite contractors from multiple regions to quote for works due to the fact they are within 125 km of the location of works, which has therefore resulted in contractors who are not located inside the same BAS region where the works are located, winning the works. </w:t>
            </w:r>
          </w:p>
          <w:p w:rsidR="00887FDD" w:rsidRPr="00051639" w:rsidRDefault="00887FDD" w:rsidP="00887FDD">
            <w:pPr>
              <w:pStyle w:val="NoteIndent"/>
              <w:numPr>
                <w:ilvl w:val="0"/>
                <w:numId w:val="0"/>
              </w:numPr>
            </w:pPr>
            <w:r w:rsidRPr="00887FDD">
              <w:rPr>
                <w:rFonts w:ascii="Arial Narrow" w:eastAsia="Arial Narrow" w:hAnsi="Arial Narrow" w:cs="Arial Narrow"/>
                <w:i/>
                <w:iCs/>
                <w:szCs w:val="16"/>
              </w:rPr>
              <w:t>This service standard is being discontinued in 2018–19 as the introduction of the QPP released in 2017 has required further refinement of the measure to align with the intent of QPP requirements. A replacement measure, ‘Percentage of maintenance spend on Building and Asset Services customer facilities with Local Zone 1 suppliers (based on physical location of contractor’s workplace)’ has been developed and introduced.</w:t>
            </w:r>
            <w:r>
              <w:rPr>
                <w:rFonts w:cs="MetaNormalLF-Italic"/>
                <w:color w:val="403F41"/>
                <w:sz w:val="14"/>
                <w:szCs w:val="14"/>
              </w:rPr>
              <w:t xml:space="preserve"> </w:t>
            </w:r>
          </w:p>
        </w:tc>
        <w:tc>
          <w:tcPr>
            <w:tcW w:w="1246" w:type="dxa"/>
            <w:tcBorders>
              <w:top w:val="nil"/>
            </w:tcBorders>
            <w:shd w:val="clear" w:color="auto" w:fill="FFFFFF" w:themeFill="background1"/>
            <w:vAlign w:val="bottom"/>
          </w:tcPr>
          <w:p w:rsidR="00887FDD" w:rsidRPr="00AE6204" w:rsidRDefault="00887FDD" w:rsidP="00D32A5E">
            <w:pPr>
              <w:pStyle w:val="TableText"/>
              <w:rPr>
                <w:rFonts w:ascii="Arial Narrow" w:hAnsi="Arial Narrow"/>
                <w:i/>
                <w:sz w:val="14"/>
                <w:szCs w:val="14"/>
              </w:rPr>
            </w:pPr>
          </w:p>
        </w:tc>
        <w:tc>
          <w:tcPr>
            <w:tcW w:w="1260" w:type="dxa"/>
            <w:tcBorders>
              <w:top w:val="nil"/>
            </w:tcBorders>
            <w:shd w:val="clear" w:color="auto" w:fill="FFFFFF" w:themeFill="background1"/>
            <w:vAlign w:val="bottom"/>
          </w:tcPr>
          <w:p w:rsidR="00887FDD" w:rsidRPr="00AE6204" w:rsidRDefault="00887FDD" w:rsidP="00D32A5E">
            <w:pPr>
              <w:pStyle w:val="TableText"/>
              <w:rPr>
                <w:rFonts w:ascii="Arial Narrow" w:hAnsi="Arial Narrow"/>
                <w:i/>
                <w:sz w:val="14"/>
                <w:szCs w:val="14"/>
              </w:rPr>
            </w:pPr>
          </w:p>
        </w:tc>
      </w:tr>
      <w:tr w:rsidR="00887FDD" w:rsidRPr="00246DD9" w:rsidTr="00D32A5E">
        <w:tc>
          <w:tcPr>
            <w:tcW w:w="7377" w:type="dxa"/>
            <w:shd w:val="clear" w:color="auto" w:fill="D9D9D9" w:themeFill="background1" w:themeFillShade="D9"/>
            <w:vAlign w:val="bottom"/>
          </w:tcPr>
          <w:p w:rsidR="00887FDD" w:rsidRPr="006C320B" w:rsidRDefault="00887FDD" w:rsidP="00D32A5E">
            <w:pPr>
              <w:pStyle w:val="TableTextItalics"/>
            </w:pPr>
            <w:r w:rsidRPr="006C320B">
              <w:t>Efficiency measures</w:t>
            </w:r>
          </w:p>
        </w:tc>
        <w:tc>
          <w:tcPr>
            <w:tcW w:w="1246" w:type="dxa"/>
            <w:shd w:val="clear" w:color="auto" w:fill="D9D9D9" w:themeFill="background1" w:themeFillShade="D9"/>
            <w:vAlign w:val="bottom"/>
          </w:tcPr>
          <w:p w:rsidR="00887FDD" w:rsidRPr="006C320B" w:rsidRDefault="00887FDD" w:rsidP="00D32A5E">
            <w:pPr>
              <w:pStyle w:val="TableTextRight"/>
            </w:pPr>
          </w:p>
        </w:tc>
        <w:tc>
          <w:tcPr>
            <w:tcW w:w="1260" w:type="dxa"/>
            <w:shd w:val="clear" w:color="auto" w:fill="D9D9D9" w:themeFill="background1" w:themeFillShade="D9"/>
            <w:vAlign w:val="bottom"/>
          </w:tcPr>
          <w:p w:rsidR="00887FDD" w:rsidRDefault="00887FDD" w:rsidP="00D32A5E">
            <w:pPr>
              <w:pStyle w:val="TableTextRight"/>
            </w:pPr>
          </w:p>
        </w:tc>
      </w:tr>
      <w:tr w:rsidR="00887FDD" w:rsidRPr="00246DD9" w:rsidTr="00D32A5E">
        <w:tc>
          <w:tcPr>
            <w:tcW w:w="7377" w:type="dxa"/>
            <w:tcBorders>
              <w:bottom w:val="nil"/>
            </w:tcBorders>
            <w:vAlign w:val="bottom"/>
            <w:hideMark/>
          </w:tcPr>
          <w:p w:rsidR="00887FDD" w:rsidRPr="001F091D" w:rsidRDefault="00887FDD" w:rsidP="00D32A5E">
            <w:pPr>
              <w:pStyle w:val="TableText"/>
            </w:pPr>
            <w:r w:rsidRPr="001F091D">
              <w:t>Gross profit as a percentage of revenue generated from work delivered on behalf of BAS customers</w:t>
            </w:r>
          </w:p>
        </w:tc>
        <w:tc>
          <w:tcPr>
            <w:tcW w:w="1246" w:type="dxa"/>
            <w:tcBorders>
              <w:bottom w:val="nil"/>
            </w:tcBorders>
          </w:tcPr>
          <w:p w:rsidR="00887FDD" w:rsidRPr="001F091D" w:rsidRDefault="00887FDD" w:rsidP="00D32A5E">
            <w:pPr>
              <w:pStyle w:val="TableTextRight"/>
            </w:pPr>
            <w:r w:rsidRPr="001F091D">
              <w:t>7.9%</w:t>
            </w:r>
          </w:p>
        </w:tc>
        <w:tc>
          <w:tcPr>
            <w:tcW w:w="1260" w:type="dxa"/>
            <w:tcBorders>
              <w:bottom w:val="nil"/>
            </w:tcBorders>
          </w:tcPr>
          <w:p w:rsidR="00887FDD" w:rsidRPr="001F091D" w:rsidRDefault="00887FDD" w:rsidP="00D32A5E">
            <w:pPr>
              <w:pStyle w:val="TableTextRight"/>
            </w:pPr>
            <w:r w:rsidRPr="001F091D">
              <w:t>8.</w:t>
            </w:r>
            <w:r>
              <w:t>4</w:t>
            </w:r>
            <w:r w:rsidRPr="001F091D">
              <w:t>%</w:t>
            </w:r>
          </w:p>
        </w:tc>
      </w:tr>
      <w:tr w:rsidR="00887FDD" w:rsidRPr="00AE6204" w:rsidTr="00D32A5E">
        <w:tc>
          <w:tcPr>
            <w:tcW w:w="7377" w:type="dxa"/>
            <w:tcBorders>
              <w:top w:val="nil"/>
            </w:tcBorders>
            <w:vAlign w:val="bottom"/>
          </w:tcPr>
          <w:p w:rsidR="00887FDD" w:rsidRPr="001F091D" w:rsidRDefault="00887FDD" w:rsidP="00887FDD">
            <w:pPr>
              <w:pStyle w:val="Pa57"/>
              <w:spacing w:after="40"/>
            </w:pPr>
            <w:r w:rsidRPr="00887FDD">
              <w:rPr>
                <w:rFonts w:ascii="Arial Narrow" w:eastAsia="Arial Narrow" w:hAnsi="Arial Narrow" w:cs="Arial Narrow"/>
                <w:i/>
                <w:iCs/>
                <w:sz w:val="16"/>
                <w:szCs w:val="16"/>
              </w:rPr>
              <w:t>Variance between 2017–18 Target/Estimate and 2017–18 Actual is mainly due to the products and services delivered and the related gross profits achieved.</w:t>
            </w:r>
            <w:r>
              <w:rPr>
                <w:rFonts w:cs="MetaNormalLF-Italic"/>
                <w:color w:val="403F41"/>
                <w:sz w:val="14"/>
                <w:szCs w:val="14"/>
              </w:rPr>
              <w:t xml:space="preserve"> </w:t>
            </w:r>
          </w:p>
        </w:tc>
        <w:tc>
          <w:tcPr>
            <w:tcW w:w="1246" w:type="dxa"/>
            <w:tcBorders>
              <w:top w:val="nil"/>
            </w:tcBorders>
            <w:vAlign w:val="bottom"/>
          </w:tcPr>
          <w:p w:rsidR="00887FDD" w:rsidRPr="001F091D" w:rsidRDefault="00887FDD" w:rsidP="00D32A5E">
            <w:pPr>
              <w:pStyle w:val="TableText"/>
              <w:rPr>
                <w:rFonts w:ascii="Arial Narrow" w:hAnsi="Arial Narrow"/>
                <w:i/>
                <w:sz w:val="14"/>
                <w:szCs w:val="14"/>
              </w:rPr>
            </w:pPr>
          </w:p>
        </w:tc>
        <w:tc>
          <w:tcPr>
            <w:tcW w:w="1260" w:type="dxa"/>
            <w:tcBorders>
              <w:top w:val="nil"/>
            </w:tcBorders>
            <w:vAlign w:val="bottom"/>
          </w:tcPr>
          <w:p w:rsidR="00887FDD" w:rsidRPr="001F091D" w:rsidRDefault="00887FDD" w:rsidP="00D32A5E">
            <w:pPr>
              <w:pStyle w:val="TableText"/>
              <w:rPr>
                <w:rFonts w:ascii="Arial Narrow" w:hAnsi="Arial Narrow"/>
                <w:i/>
                <w:sz w:val="14"/>
                <w:szCs w:val="14"/>
              </w:rPr>
            </w:pPr>
          </w:p>
        </w:tc>
      </w:tr>
      <w:tr w:rsidR="00887FDD" w:rsidRPr="00246DD9" w:rsidTr="00D32A5E">
        <w:tc>
          <w:tcPr>
            <w:tcW w:w="7377" w:type="dxa"/>
            <w:tcBorders>
              <w:bottom w:val="nil"/>
            </w:tcBorders>
            <w:vAlign w:val="bottom"/>
            <w:hideMark/>
          </w:tcPr>
          <w:p w:rsidR="00887FDD" w:rsidRPr="001F091D" w:rsidRDefault="00887FDD" w:rsidP="00D32A5E">
            <w:pPr>
              <w:pStyle w:val="TableText"/>
            </w:pPr>
            <w:r w:rsidRPr="001F091D">
              <w:t>Net profit before tax and dividends as a percentage of sales</w:t>
            </w:r>
          </w:p>
        </w:tc>
        <w:tc>
          <w:tcPr>
            <w:tcW w:w="1246" w:type="dxa"/>
            <w:tcBorders>
              <w:bottom w:val="nil"/>
            </w:tcBorders>
            <w:vAlign w:val="bottom"/>
          </w:tcPr>
          <w:p w:rsidR="00887FDD" w:rsidRPr="006C320B" w:rsidRDefault="00887FDD" w:rsidP="00D32A5E">
            <w:pPr>
              <w:pStyle w:val="TableTextRight"/>
            </w:pPr>
            <w:r w:rsidRPr="006C320B">
              <w:t>0.</w:t>
            </w:r>
            <w:r>
              <w:t>1%</w:t>
            </w:r>
          </w:p>
        </w:tc>
        <w:tc>
          <w:tcPr>
            <w:tcW w:w="1260" w:type="dxa"/>
            <w:tcBorders>
              <w:bottom w:val="nil"/>
            </w:tcBorders>
            <w:vAlign w:val="bottom"/>
          </w:tcPr>
          <w:p w:rsidR="00887FDD" w:rsidRPr="001F091D" w:rsidRDefault="00887FDD" w:rsidP="00D32A5E">
            <w:pPr>
              <w:pStyle w:val="TableTextRight"/>
            </w:pPr>
            <w:r>
              <w:t>1.2</w:t>
            </w:r>
            <w:r w:rsidRPr="001F091D">
              <w:t>%</w:t>
            </w:r>
          </w:p>
        </w:tc>
      </w:tr>
      <w:tr w:rsidR="00887FDD" w:rsidRPr="00AE6204" w:rsidTr="00D32A5E">
        <w:tc>
          <w:tcPr>
            <w:tcW w:w="7377" w:type="dxa"/>
            <w:tcBorders>
              <w:top w:val="nil"/>
            </w:tcBorders>
            <w:vAlign w:val="bottom"/>
          </w:tcPr>
          <w:p w:rsidR="00887FDD" w:rsidRPr="001F091D" w:rsidRDefault="00887FDD" w:rsidP="00887FDD">
            <w:pPr>
              <w:pStyle w:val="Pa57"/>
              <w:spacing w:after="40"/>
              <w:rPr>
                <w:rFonts w:ascii="Arial Narrow" w:eastAsia="Arial Narrow" w:hAnsi="Arial Narrow" w:cs="Arial Narrow"/>
                <w:i/>
              </w:rPr>
            </w:pPr>
            <w:r w:rsidRPr="00887FDD">
              <w:rPr>
                <w:rFonts w:ascii="Arial Narrow" w:eastAsia="Arial Narrow" w:hAnsi="Arial Narrow" w:cs="Arial Narrow"/>
                <w:i/>
                <w:iCs/>
                <w:sz w:val="16"/>
                <w:szCs w:val="16"/>
              </w:rPr>
              <w:t>Variance between 2017–18 Target/Estimate to 2017–18 Actual is mainly due to the increase in contribution from higher volume of sales.</w:t>
            </w:r>
            <w:r>
              <w:rPr>
                <w:rFonts w:cs="MetaNormalLF-Italic"/>
                <w:color w:val="403F41"/>
                <w:sz w:val="14"/>
                <w:szCs w:val="14"/>
              </w:rPr>
              <w:t xml:space="preserve"> </w:t>
            </w:r>
          </w:p>
        </w:tc>
        <w:tc>
          <w:tcPr>
            <w:tcW w:w="1246" w:type="dxa"/>
            <w:tcBorders>
              <w:top w:val="nil"/>
            </w:tcBorders>
            <w:vAlign w:val="bottom"/>
          </w:tcPr>
          <w:p w:rsidR="00887FDD" w:rsidRPr="00AE6204" w:rsidRDefault="00887FDD" w:rsidP="00D32A5E">
            <w:pPr>
              <w:pStyle w:val="TableText"/>
              <w:rPr>
                <w:rFonts w:ascii="Arial Narrow" w:hAnsi="Arial Narrow"/>
                <w:i/>
                <w:sz w:val="14"/>
                <w:szCs w:val="14"/>
              </w:rPr>
            </w:pPr>
          </w:p>
        </w:tc>
        <w:tc>
          <w:tcPr>
            <w:tcW w:w="1260" w:type="dxa"/>
            <w:tcBorders>
              <w:top w:val="nil"/>
            </w:tcBorders>
            <w:vAlign w:val="bottom"/>
          </w:tcPr>
          <w:p w:rsidR="00887FDD" w:rsidRPr="001F091D" w:rsidRDefault="00887FDD" w:rsidP="00D32A5E">
            <w:pPr>
              <w:pStyle w:val="TableText"/>
              <w:rPr>
                <w:rFonts w:ascii="Arial Narrow" w:hAnsi="Arial Narrow"/>
                <w:i/>
                <w:sz w:val="14"/>
                <w:szCs w:val="14"/>
              </w:rPr>
            </w:pPr>
          </w:p>
        </w:tc>
      </w:tr>
      <w:tr w:rsidR="00887FDD" w:rsidRPr="00246DD9" w:rsidTr="00D32A5E">
        <w:tc>
          <w:tcPr>
            <w:tcW w:w="7377" w:type="dxa"/>
            <w:tcBorders>
              <w:bottom w:val="nil"/>
            </w:tcBorders>
            <w:vAlign w:val="bottom"/>
          </w:tcPr>
          <w:p w:rsidR="00887FDD" w:rsidRPr="001F091D" w:rsidRDefault="00887FDD" w:rsidP="00D32A5E">
            <w:pPr>
              <w:pStyle w:val="TableText"/>
            </w:pPr>
            <w:r w:rsidRPr="001F091D">
              <w:t>Current ratio</w:t>
            </w:r>
          </w:p>
        </w:tc>
        <w:tc>
          <w:tcPr>
            <w:tcW w:w="1246" w:type="dxa"/>
            <w:tcBorders>
              <w:bottom w:val="nil"/>
            </w:tcBorders>
            <w:vAlign w:val="bottom"/>
          </w:tcPr>
          <w:p w:rsidR="00887FDD" w:rsidRPr="006C320B" w:rsidRDefault="00887FDD" w:rsidP="00D32A5E">
            <w:pPr>
              <w:pStyle w:val="TableTextRight"/>
            </w:pPr>
            <w:r w:rsidRPr="006C320B">
              <w:t>1.7</w:t>
            </w:r>
            <w:r>
              <w:t>6</w:t>
            </w:r>
            <w:r w:rsidRPr="006C320B">
              <w:t>:1</w:t>
            </w:r>
          </w:p>
        </w:tc>
        <w:tc>
          <w:tcPr>
            <w:tcW w:w="1260" w:type="dxa"/>
            <w:tcBorders>
              <w:bottom w:val="nil"/>
            </w:tcBorders>
            <w:vAlign w:val="bottom"/>
          </w:tcPr>
          <w:p w:rsidR="00887FDD" w:rsidRPr="001F091D" w:rsidRDefault="00887FDD" w:rsidP="00D32A5E">
            <w:pPr>
              <w:pStyle w:val="TableTextRight"/>
            </w:pPr>
            <w:r w:rsidRPr="001F091D">
              <w:t>1.</w:t>
            </w:r>
            <w:r>
              <w:t>59:</w:t>
            </w:r>
            <w:r w:rsidRPr="001F091D">
              <w:t>1</w:t>
            </w:r>
          </w:p>
        </w:tc>
      </w:tr>
      <w:tr w:rsidR="00887FDD" w:rsidRPr="00AE6204" w:rsidTr="00D32A5E">
        <w:tc>
          <w:tcPr>
            <w:tcW w:w="7377" w:type="dxa"/>
            <w:tcBorders>
              <w:top w:val="nil"/>
            </w:tcBorders>
            <w:vAlign w:val="bottom"/>
          </w:tcPr>
          <w:p w:rsidR="00887FDD" w:rsidRPr="00887FDD" w:rsidRDefault="00887FDD" w:rsidP="00887FDD">
            <w:pPr>
              <w:pStyle w:val="Pa57"/>
              <w:spacing w:after="40"/>
              <w:rPr>
                <w:rFonts w:cs="MetaNormalLF-Italic"/>
                <w:color w:val="403F41"/>
                <w:sz w:val="14"/>
                <w:szCs w:val="14"/>
              </w:rPr>
            </w:pPr>
            <w:r w:rsidRPr="00887FDD">
              <w:rPr>
                <w:rFonts w:ascii="Arial Narrow" w:eastAsia="Arial Narrow" w:hAnsi="Arial Narrow" w:cs="Arial Narrow"/>
                <w:i/>
                <w:iCs/>
                <w:sz w:val="16"/>
                <w:szCs w:val="16"/>
              </w:rPr>
              <w:t>Variance between 2017–18 Target/Estimate to 2017–18 Actual is mainly due to the general movements in business operational activity.</w:t>
            </w:r>
            <w:r>
              <w:rPr>
                <w:rFonts w:cs="MetaNormalLF-Italic"/>
                <w:color w:val="403F41"/>
                <w:sz w:val="14"/>
                <w:szCs w:val="14"/>
              </w:rPr>
              <w:t xml:space="preserve"> </w:t>
            </w:r>
          </w:p>
        </w:tc>
        <w:tc>
          <w:tcPr>
            <w:tcW w:w="1246" w:type="dxa"/>
            <w:tcBorders>
              <w:top w:val="nil"/>
            </w:tcBorders>
            <w:vAlign w:val="bottom"/>
          </w:tcPr>
          <w:p w:rsidR="00887FDD" w:rsidRPr="00AE6204" w:rsidRDefault="00887FDD" w:rsidP="00D32A5E">
            <w:pPr>
              <w:pStyle w:val="TableText"/>
              <w:rPr>
                <w:rFonts w:ascii="Arial Narrow" w:hAnsi="Arial Narrow"/>
                <w:i/>
                <w:sz w:val="14"/>
                <w:szCs w:val="14"/>
              </w:rPr>
            </w:pPr>
          </w:p>
        </w:tc>
        <w:tc>
          <w:tcPr>
            <w:tcW w:w="1260" w:type="dxa"/>
            <w:tcBorders>
              <w:top w:val="nil"/>
            </w:tcBorders>
            <w:vAlign w:val="bottom"/>
          </w:tcPr>
          <w:p w:rsidR="00887FDD" w:rsidRPr="001F091D" w:rsidRDefault="00887FDD" w:rsidP="00D32A5E">
            <w:pPr>
              <w:pStyle w:val="TableText"/>
              <w:rPr>
                <w:rFonts w:ascii="Arial Narrow" w:hAnsi="Arial Narrow"/>
                <w:i/>
                <w:sz w:val="14"/>
                <w:szCs w:val="14"/>
              </w:rPr>
            </w:pPr>
          </w:p>
        </w:tc>
      </w:tr>
    </w:tbl>
    <w:p w:rsidR="00887FDD" w:rsidRDefault="00887FDD">
      <w:pPr>
        <w:spacing w:before="0" w:after="0"/>
        <w:rPr>
          <w:rFonts w:ascii="Arial" w:hAnsi="Arial" w:cs="Arial"/>
        </w:rPr>
      </w:pPr>
      <w:bookmarkStart w:id="42" w:name="_TOC_250017"/>
      <w:bookmarkEnd w:id="42"/>
      <w:r>
        <w:rPr>
          <w:rFonts w:ascii="Arial" w:hAnsi="Arial" w:cs="Arial"/>
        </w:rPr>
        <w:br w:type="page"/>
      </w:r>
    </w:p>
    <w:p w:rsidR="0028598A" w:rsidRPr="00C96F1A" w:rsidRDefault="00B625AF" w:rsidP="00AD1337">
      <w:pPr>
        <w:pStyle w:val="Heading2"/>
      </w:pPr>
      <w:bookmarkStart w:id="43" w:name="CITEC"/>
      <w:bookmarkStart w:id="44" w:name="_Toc528845969"/>
      <w:bookmarkEnd w:id="43"/>
      <w:r w:rsidRPr="00C96F1A">
        <w:lastRenderedPageBreak/>
        <w:t>CITEC</w:t>
      </w:r>
      <w:bookmarkEnd w:id="44"/>
    </w:p>
    <w:p w:rsidR="0028598A" w:rsidRPr="00C96F1A" w:rsidRDefault="00B625AF" w:rsidP="00AD1337">
      <w:pPr>
        <w:pStyle w:val="Heading3"/>
      </w:pPr>
      <w:r w:rsidRPr="00C96F1A">
        <w:t>Our objective</w:t>
      </w:r>
    </w:p>
    <w:p w:rsidR="0028598A" w:rsidRPr="00C96F1A" w:rsidRDefault="00B625AF" w:rsidP="00C96F1A">
      <w:pPr>
        <w:rPr>
          <w:rFonts w:ascii="Arial" w:hAnsi="Arial" w:cs="Arial"/>
        </w:rPr>
      </w:pPr>
      <w:r w:rsidRPr="00C96F1A">
        <w:rPr>
          <w:rFonts w:ascii="Arial" w:hAnsi="Arial" w:cs="Arial"/>
        </w:rPr>
        <w:t>To provide Queensland Government departments, statutory bodies and commercial clients with ICT infrastructure and information brokerage services that support the delivery of quality frontline services to Queensland communities and businesses.</w:t>
      </w:r>
    </w:p>
    <w:p w:rsidR="0028598A" w:rsidRPr="00C96F1A" w:rsidRDefault="00B625AF" w:rsidP="00AD1337">
      <w:pPr>
        <w:pStyle w:val="Heading3"/>
      </w:pPr>
      <w:r w:rsidRPr="00C96F1A">
        <w:t>What we do</w:t>
      </w:r>
    </w:p>
    <w:p w:rsidR="0028598A" w:rsidRPr="00C96F1A" w:rsidRDefault="00B625AF" w:rsidP="00C96F1A">
      <w:pPr>
        <w:rPr>
          <w:rFonts w:ascii="Arial" w:hAnsi="Arial" w:cs="Arial"/>
        </w:rPr>
      </w:pPr>
      <w:r w:rsidRPr="00C96F1A">
        <w:rPr>
          <w:rFonts w:ascii="Arial" w:hAnsi="Arial" w:cs="Arial"/>
        </w:rPr>
        <w:t>CITEC delivers consolidated, core ICT infrastructure services for the Queensland Government, covering data centre, network, storage, data protection, and ICT platform and solution integration services. CITEC also delivers information solutions to customers in business and the community Australia-wide on a fully commercial basis.</w:t>
      </w:r>
    </w:p>
    <w:p w:rsidR="00FF68FC" w:rsidRPr="00FF68FC" w:rsidRDefault="00FF68FC" w:rsidP="00FF68FC">
      <w:pPr>
        <w:pStyle w:val="Heading3"/>
      </w:pPr>
      <w:r w:rsidRPr="00FF68FC">
        <w:t xml:space="preserve">Our services </w:t>
      </w:r>
    </w:p>
    <w:p w:rsidR="00FF68FC" w:rsidRPr="00FF68FC" w:rsidRDefault="00FF68FC" w:rsidP="00D806AE">
      <w:pPr>
        <w:pStyle w:val="ListParagraph"/>
        <w:numPr>
          <w:ilvl w:val="0"/>
          <w:numId w:val="95"/>
        </w:numPr>
        <w:rPr>
          <w:rFonts w:ascii="Arial" w:hAnsi="Arial" w:cs="Arial"/>
        </w:rPr>
      </w:pPr>
      <w:r w:rsidRPr="00FF68FC">
        <w:rPr>
          <w:rFonts w:ascii="Arial" w:hAnsi="Arial" w:cs="Arial"/>
        </w:rPr>
        <w:t xml:space="preserve">CITEC Information and Communications Technology </w:t>
      </w:r>
    </w:p>
    <w:p w:rsidR="00FF68FC" w:rsidRPr="00FF68FC" w:rsidRDefault="00FF68FC" w:rsidP="00D806AE">
      <w:pPr>
        <w:pStyle w:val="ListParagraph"/>
        <w:numPr>
          <w:ilvl w:val="0"/>
          <w:numId w:val="95"/>
        </w:numPr>
        <w:rPr>
          <w:rFonts w:ascii="Arial" w:hAnsi="Arial" w:cs="Arial"/>
        </w:rPr>
      </w:pPr>
      <w:r w:rsidRPr="00FF68FC">
        <w:rPr>
          <w:rFonts w:ascii="Arial" w:hAnsi="Arial" w:cs="Arial"/>
        </w:rPr>
        <w:t xml:space="preserve">CITEC Information Brokerage (IB) </w:t>
      </w:r>
    </w:p>
    <w:p w:rsidR="00B63ED2" w:rsidRDefault="00B63ED2">
      <w:pPr>
        <w:spacing w:before="0" w:after="0"/>
      </w:pPr>
    </w:p>
    <w:p w:rsidR="00B63ED2" w:rsidRDefault="00FA64DF" w:rsidP="004027DF">
      <w:pPr>
        <w:pStyle w:val="Heading3"/>
      </w:pPr>
      <w:r>
        <w:t>Key</w:t>
      </w:r>
      <w:r w:rsidR="00FA5596">
        <w:t xml:space="preserve"> statistics</w:t>
      </w:r>
    </w:p>
    <w:tbl>
      <w:tblPr>
        <w:tblStyle w:val="TableGrid"/>
        <w:tblW w:w="9632" w:type="dxa"/>
        <w:tblLook w:val="04A0" w:firstRow="1" w:lastRow="0" w:firstColumn="1" w:lastColumn="0" w:noHBand="0" w:noVBand="1"/>
      </w:tblPr>
      <w:tblGrid>
        <w:gridCol w:w="5291"/>
        <w:gridCol w:w="1521"/>
        <w:gridCol w:w="1403"/>
        <w:gridCol w:w="1417"/>
      </w:tblGrid>
      <w:tr w:rsidR="00B63ED2" w:rsidRPr="00B63ED2" w:rsidTr="00B63ED2">
        <w:tc>
          <w:tcPr>
            <w:tcW w:w="5291" w:type="dxa"/>
            <w:shd w:val="clear" w:color="auto" w:fill="FFFFFF" w:themeFill="background1"/>
          </w:tcPr>
          <w:p w:rsidR="00B63ED2" w:rsidRPr="00B63ED2" w:rsidRDefault="00B63ED2" w:rsidP="00B63ED2">
            <w:pPr>
              <w:rPr>
                <w:b/>
              </w:rPr>
            </w:pPr>
            <w:r w:rsidRPr="00B63ED2">
              <w:rPr>
                <w:b/>
              </w:rPr>
              <w:t>Measure</w:t>
            </w:r>
          </w:p>
        </w:tc>
        <w:tc>
          <w:tcPr>
            <w:tcW w:w="1521" w:type="dxa"/>
            <w:shd w:val="clear" w:color="auto" w:fill="FFFFFF" w:themeFill="background1"/>
          </w:tcPr>
          <w:p w:rsidR="00B63ED2" w:rsidRPr="00B63ED2" w:rsidRDefault="00B63ED2" w:rsidP="00B63ED2">
            <w:pPr>
              <w:rPr>
                <w:b/>
              </w:rPr>
            </w:pPr>
            <w:r w:rsidRPr="00B63ED2">
              <w:rPr>
                <w:b/>
              </w:rPr>
              <w:t>Actual 2015–16</w:t>
            </w:r>
          </w:p>
        </w:tc>
        <w:tc>
          <w:tcPr>
            <w:tcW w:w="1403" w:type="dxa"/>
            <w:shd w:val="clear" w:color="auto" w:fill="FFFFFF" w:themeFill="background1"/>
          </w:tcPr>
          <w:p w:rsidR="00B63ED2" w:rsidRPr="00B63ED2" w:rsidRDefault="00B63ED2" w:rsidP="00B63ED2">
            <w:pPr>
              <w:rPr>
                <w:b/>
              </w:rPr>
            </w:pPr>
            <w:r w:rsidRPr="00B63ED2">
              <w:rPr>
                <w:b/>
              </w:rPr>
              <w:t>Actual 2016–17</w:t>
            </w:r>
          </w:p>
        </w:tc>
        <w:tc>
          <w:tcPr>
            <w:tcW w:w="1417" w:type="dxa"/>
            <w:shd w:val="clear" w:color="auto" w:fill="FFFFFF" w:themeFill="background1"/>
          </w:tcPr>
          <w:p w:rsidR="00B63ED2" w:rsidRPr="00B63ED2" w:rsidRDefault="00B63ED2" w:rsidP="00B63ED2">
            <w:pPr>
              <w:rPr>
                <w:b/>
              </w:rPr>
            </w:pPr>
            <w:r w:rsidRPr="00B63ED2">
              <w:rPr>
                <w:b/>
              </w:rPr>
              <w:t>Actual 2017–18</w:t>
            </w:r>
          </w:p>
        </w:tc>
      </w:tr>
      <w:tr w:rsidR="00B63ED2" w:rsidRPr="00B63ED2" w:rsidTr="00D32A5E">
        <w:tc>
          <w:tcPr>
            <w:tcW w:w="5291" w:type="dxa"/>
          </w:tcPr>
          <w:p w:rsidR="00B63ED2" w:rsidRPr="00B63ED2" w:rsidRDefault="00B63ED2" w:rsidP="00B63ED2">
            <w:r w:rsidRPr="00B63ED2">
              <w:t>CITEC ICT customer satisfaction</w:t>
            </w:r>
          </w:p>
        </w:tc>
        <w:tc>
          <w:tcPr>
            <w:tcW w:w="1521" w:type="dxa"/>
          </w:tcPr>
          <w:p w:rsidR="00B63ED2" w:rsidRPr="00B63ED2" w:rsidRDefault="00B63ED2" w:rsidP="00B63ED2">
            <w:r w:rsidRPr="00B63ED2">
              <w:t>42.8%</w:t>
            </w:r>
          </w:p>
        </w:tc>
        <w:tc>
          <w:tcPr>
            <w:tcW w:w="1403" w:type="dxa"/>
          </w:tcPr>
          <w:p w:rsidR="00B63ED2" w:rsidRPr="00B63ED2" w:rsidRDefault="00B63ED2" w:rsidP="00B63ED2">
            <w:r w:rsidRPr="00B63ED2">
              <w:t>68.8%</w:t>
            </w:r>
          </w:p>
        </w:tc>
        <w:tc>
          <w:tcPr>
            <w:tcW w:w="1417" w:type="dxa"/>
          </w:tcPr>
          <w:p w:rsidR="00B63ED2" w:rsidRPr="00B63ED2" w:rsidRDefault="00B63ED2" w:rsidP="00B63ED2">
            <w:r w:rsidRPr="00B63ED2">
              <w:t>84.1%</w:t>
            </w:r>
          </w:p>
        </w:tc>
      </w:tr>
      <w:tr w:rsidR="00B63ED2" w:rsidRPr="00B63ED2" w:rsidTr="00D32A5E">
        <w:tc>
          <w:tcPr>
            <w:tcW w:w="5291" w:type="dxa"/>
          </w:tcPr>
          <w:p w:rsidR="00B63ED2" w:rsidRPr="00B63ED2" w:rsidRDefault="00B63ED2" w:rsidP="00B63ED2">
            <w:r w:rsidRPr="00B63ED2">
              <w:t>CITEC Information Brokerage customer satisfaction</w:t>
            </w:r>
          </w:p>
        </w:tc>
        <w:tc>
          <w:tcPr>
            <w:tcW w:w="1521" w:type="dxa"/>
          </w:tcPr>
          <w:p w:rsidR="00B63ED2" w:rsidRPr="00B63ED2" w:rsidRDefault="00B63ED2" w:rsidP="00B63ED2">
            <w:r w:rsidRPr="00B63ED2">
              <w:t>88.4%</w:t>
            </w:r>
          </w:p>
        </w:tc>
        <w:tc>
          <w:tcPr>
            <w:tcW w:w="1403" w:type="dxa"/>
          </w:tcPr>
          <w:p w:rsidR="00B63ED2" w:rsidRPr="00B63ED2" w:rsidRDefault="00B63ED2" w:rsidP="00B63ED2">
            <w:r w:rsidRPr="00B63ED2">
              <w:t>90.6%</w:t>
            </w:r>
          </w:p>
        </w:tc>
        <w:tc>
          <w:tcPr>
            <w:tcW w:w="1417" w:type="dxa"/>
          </w:tcPr>
          <w:p w:rsidR="00B63ED2" w:rsidRPr="00B63ED2" w:rsidRDefault="00B63ED2" w:rsidP="00B63ED2">
            <w:r w:rsidRPr="00B63ED2">
              <w:t>91.2%</w:t>
            </w:r>
          </w:p>
        </w:tc>
      </w:tr>
      <w:tr w:rsidR="00B63ED2" w:rsidRPr="00B63ED2" w:rsidTr="00D32A5E">
        <w:tc>
          <w:tcPr>
            <w:tcW w:w="5291" w:type="dxa"/>
          </w:tcPr>
          <w:p w:rsidR="00B63ED2" w:rsidRPr="00B63ED2" w:rsidRDefault="00B63ED2" w:rsidP="00B63ED2">
            <w:r w:rsidRPr="00B63ED2">
              <w:t>Percentage of claims documents eFiled</w:t>
            </w:r>
          </w:p>
        </w:tc>
        <w:tc>
          <w:tcPr>
            <w:tcW w:w="1521" w:type="dxa"/>
          </w:tcPr>
          <w:p w:rsidR="00B63ED2" w:rsidRPr="00B63ED2" w:rsidRDefault="00B63ED2" w:rsidP="00B63ED2">
            <w:r w:rsidRPr="00B63ED2">
              <w:t>69.20%</w:t>
            </w:r>
          </w:p>
        </w:tc>
        <w:tc>
          <w:tcPr>
            <w:tcW w:w="1403" w:type="dxa"/>
          </w:tcPr>
          <w:p w:rsidR="00B63ED2" w:rsidRPr="00B63ED2" w:rsidRDefault="00B63ED2" w:rsidP="00B63ED2">
            <w:r w:rsidRPr="00B63ED2">
              <w:t>70.73%</w:t>
            </w:r>
          </w:p>
        </w:tc>
        <w:tc>
          <w:tcPr>
            <w:tcW w:w="1417" w:type="dxa"/>
          </w:tcPr>
          <w:p w:rsidR="00B63ED2" w:rsidRPr="00B63ED2" w:rsidRDefault="00B63ED2" w:rsidP="00B63ED2">
            <w:r w:rsidRPr="00B63ED2">
              <w:t>73.19%</w:t>
            </w:r>
          </w:p>
        </w:tc>
      </w:tr>
    </w:tbl>
    <w:p w:rsidR="00FF68FC" w:rsidRDefault="00FF68FC">
      <w:pPr>
        <w:spacing w:before="0" w:after="0"/>
        <w:rPr>
          <w:rFonts w:asciiTheme="majorHAnsi" w:eastAsiaTheme="majorEastAsia" w:hAnsiTheme="majorHAnsi" w:cstheme="majorBidi"/>
          <w:b/>
          <w:bCs/>
          <w:sz w:val="32"/>
          <w:szCs w:val="26"/>
        </w:rPr>
      </w:pPr>
      <w:r>
        <w:br w:type="page"/>
      </w:r>
    </w:p>
    <w:p w:rsidR="0028598A" w:rsidRPr="00C96F1A" w:rsidRDefault="00B625AF" w:rsidP="00AD1337">
      <w:pPr>
        <w:pStyle w:val="Heading3"/>
      </w:pPr>
      <w:r w:rsidRPr="00C96F1A">
        <w:lastRenderedPageBreak/>
        <w:t>Our achievements</w:t>
      </w:r>
    </w:p>
    <w:p w:rsidR="0028598A" w:rsidRPr="00C96F1A" w:rsidRDefault="00B625AF" w:rsidP="00FF68FC">
      <w:pPr>
        <w:pStyle w:val="Heading6"/>
      </w:pPr>
      <w:r w:rsidRPr="00C96F1A">
        <w:t>Delivering quality ICT infrastructure services</w:t>
      </w:r>
    </w:p>
    <w:p w:rsidR="0028598A" w:rsidRPr="00C96F1A" w:rsidRDefault="00B625AF" w:rsidP="00C96F1A">
      <w:pPr>
        <w:rPr>
          <w:rFonts w:ascii="Arial" w:hAnsi="Arial" w:cs="Arial"/>
        </w:rPr>
      </w:pPr>
      <w:r w:rsidRPr="00C96F1A">
        <w:rPr>
          <w:rFonts w:ascii="Arial" w:hAnsi="Arial" w:cs="Arial"/>
        </w:rPr>
        <w:t>Throughout the year, we delivered consolidated core services for the Queensland Government, including the provision of cyber security services.</w:t>
      </w:r>
    </w:p>
    <w:p w:rsidR="0028598A" w:rsidRPr="00C96F1A" w:rsidRDefault="00B625AF" w:rsidP="00C96F1A">
      <w:pPr>
        <w:rPr>
          <w:rFonts w:ascii="Arial" w:hAnsi="Arial" w:cs="Arial"/>
        </w:rPr>
      </w:pPr>
      <w:r w:rsidRPr="00C96F1A">
        <w:rPr>
          <w:rFonts w:ascii="Arial" w:hAnsi="Arial" w:cs="Arial"/>
        </w:rPr>
        <w:t>In 2017–18, we:</w:t>
      </w:r>
    </w:p>
    <w:p w:rsidR="00FF68FC" w:rsidRPr="00FF68FC" w:rsidRDefault="00FF68FC" w:rsidP="00D806AE">
      <w:pPr>
        <w:pStyle w:val="ListParagraph"/>
        <w:numPr>
          <w:ilvl w:val="0"/>
          <w:numId w:val="96"/>
        </w:numPr>
      </w:pPr>
      <w:r w:rsidRPr="00FF68FC">
        <w:t xml:space="preserve">helped maintain trust in government by supporting the protection of digital assets, and providing information and cyber resilience </w:t>
      </w:r>
    </w:p>
    <w:p w:rsidR="00FA5596" w:rsidRDefault="00FF68FC" w:rsidP="00D806AE">
      <w:pPr>
        <w:pStyle w:val="ListParagraph"/>
        <w:numPr>
          <w:ilvl w:val="0"/>
          <w:numId w:val="96"/>
        </w:numPr>
      </w:pPr>
      <w:r w:rsidRPr="00FF68FC">
        <w:t xml:space="preserve">ensured the ICT network and platform for the government reliably supported frontline service delivery by maintaining an availability rate of 99.99 per cent on over: </w:t>
      </w:r>
    </w:p>
    <w:p w:rsidR="00FF68FC" w:rsidRPr="00FF68FC" w:rsidRDefault="00FF68FC" w:rsidP="00FA5596">
      <w:pPr>
        <w:pStyle w:val="ListParagraph"/>
        <w:numPr>
          <w:ilvl w:val="0"/>
          <w:numId w:val="97"/>
        </w:numPr>
      </w:pPr>
      <w:r w:rsidRPr="00FF68FC">
        <w:t xml:space="preserve">22,000 network devices </w:t>
      </w:r>
    </w:p>
    <w:p w:rsidR="00FF68FC" w:rsidRPr="00FF68FC" w:rsidRDefault="00FF68FC" w:rsidP="00D806AE">
      <w:pPr>
        <w:pStyle w:val="ListParagraph"/>
        <w:numPr>
          <w:ilvl w:val="0"/>
          <w:numId w:val="97"/>
        </w:numPr>
      </w:pPr>
      <w:r w:rsidRPr="00FF68FC">
        <w:t xml:space="preserve">2,000 servers </w:t>
      </w:r>
    </w:p>
    <w:p w:rsidR="00FF68FC" w:rsidRPr="00FF68FC" w:rsidRDefault="00FF68FC" w:rsidP="00D806AE">
      <w:pPr>
        <w:pStyle w:val="ListParagraph"/>
        <w:numPr>
          <w:ilvl w:val="0"/>
          <w:numId w:val="97"/>
        </w:numPr>
      </w:pPr>
      <w:r w:rsidRPr="00FF68FC">
        <w:t xml:space="preserve">2,200 terabytes of stored data </w:t>
      </w:r>
    </w:p>
    <w:p w:rsidR="00FF68FC" w:rsidRPr="00FF68FC" w:rsidRDefault="00FF68FC" w:rsidP="00D806AE">
      <w:pPr>
        <w:pStyle w:val="ListParagraph"/>
        <w:numPr>
          <w:ilvl w:val="0"/>
          <w:numId w:val="97"/>
        </w:numPr>
      </w:pPr>
      <w:r w:rsidRPr="00FF68FC">
        <w:t xml:space="preserve">30 terabytes of internet data each day </w:t>
      </w:r>
    </w:p>
    <w:p w:rsidR="00FF68FC" w:rsidRPr="00FF68FC" w:rsidRDefault="00FF68FC" w:rsidP="00D806AE">
      <w:pPr>
        <w:pStyle w:val="ListParagraph"/>
        <w:numPr>
          <w:ilvl w:val="0"/>
          <w:numId w:val="97"/>
        </w:numPr>
      </w:pPr>
      <w:r w:rsidRPr="00FF68FC">
        <w:t xml:space="preserve">2,800kW of data centre power. </w:t>
      </w:r>
    </w:p>
    <w:p w:rsidR="00FF68FC" w:rsidRPr="00FF68FC" w:rsidRDefault="00FF68FC" w:rsidP="00D806AE">
      <w:pPr>
        <w:pStyle w:val="ListParagraph"/>
        <w:numPr>
          <w:ilvl w:val="0"/>
          <w:numId w:val="96"/>
        </w:numPr>
      </w:pPr>
      <w:r w:rsidRPr="00FF68FC">
        <w:t xml:space="preserve">supported the processing of an estimated 19 billion government business transactions each week (worth over $40 billion per year) on our infrastructure </w:t>
      </w:r>
    </w:p>
    <w:p w:rsidR="00FF68FC" w:rsidRPr="00FF68FC" w:rsidRDefault="00FF68FC" w:rsidP="00D806AE">
      <w:pPr>
        <w:pStyle w:val="ListParagraph"/>
        <w:numPr>
          <w:ilvl w:val="0"/>
          <w:numId w:val="96"/>
        </w:numPr>
      </w:pPr>
      <w:r w:rsidRPr="00FF68FC">
        <w:t xml:space="preserve">achieved the globally recognised, best practice-accreditations ISO9001 Quality Management and ISO27001 Information Security Management Systems (Data Centres) recertification </w:t>
      </w:r>
    </w:p>
    <w:p w:rsidR="00FF68FC" w:rsidRPr="00FF68FC" w:rsidRDefault="00FF68FC" w:rsidP="00D806AE">
      <w:pPr>
        <w:pStyle w:val="ListParagraph"/>
        <w:numPr>
          <w:ilvl w:val="0"/>
          <w:numId w:val="96"/>
        </w:numPr>
      </w:pPr>
      <w:r w:rsidRPr="00FF68FC">
        <w:t xml:space="preserve">implemented additional pilot sites for the shared connectivity initiative in Maroochydore, Townsville and Cairns, reducing telecommunications costs, improving connectivity and increasing collaboration for partner agencies </w:t>
      </w:r>
    </w:p>
    <w:p w:rsidR="00FF68FC" w:rsidRPr="00FF68FC" w:rsidRDefault="00FF68FC" w:rsidP="00D806AE">
      <w:pPr>
        <w:pStyle w:val="ListParagraph"/>
        <w:numPr>
          <w:ilvl w:val="0"/>
          <w:numId w:val="96"/>
        </w:numPr>
      </w:pPr>
      <w:r w:rsidRPr="00FF68FC">
        <w:t xml:space="preserve">migrated a number of different agency systems onto the Queensland Government cloud to help mitigate the risks associated with aged, end-of-life or out-of-support legacy infrastructure </w:t>
      </w:r>
    </w:p>
    <w:p w:rsidR="00FF68FC" w:rsidRPr="00FF68FC" w:rsidRDefault="00FF68FC" w:rsidP="00D806AE">
      <w:pPr>
        <w:pStyle w:val="ListParagraph"/>
        <w:numPr>
          <w:ilvl w:val="0"/>
          <w:numId w:val="96"/>
        </w:numPr>
      </w:pPr>
      <w:r w:rsidRPr="00FF68FC">
        <w:t xml:space="preserve">implemented a service line review for storage services, delivering savings of $2.4 million per year back to agencies, improving performance and reliability in storage services. </w:t>
      </w:r>
    </w:p>
    <w:p w:rsidR="0028598A" w:rsidRPr="00C96F1A" w:rsidRDefault="00B625AF" w:rsidP="00FF68FC">
      <w:pPr>
        <w:pStyle w:val="Heading6"/>
      </w:pPr>
      <w:r w:rsidRPr="00C96F1A">
        <w:t>Managing data</w:t>
      </w:r>
    </w:p>
    <w:p w:rsidR="0028598A" w:rsidRPr="00C96F1A" w:rsidRDefault="00B625AF" w:rsidP="00C96F1A">
      <w:pPr>
        <w:rPr>
          <w:rFonts w:ascii="Arial" w:hAnsi="Arial" w:cs="Arial"/>
        </w:rPr>
      </w:pPr>
      <w:r w:rsidRPr="00C96F1A">
        <w:rPr>
          <w:rFonts w:ascii="Arial" w:hAnsi="Arial" w:cs="Arial"/>
        </w:rPr>
        <w:t>Our data management and analytics activities continued to support agencies across government.</w:t>
      </w:r>
    </w:p>
    <w:p w:rsidR="0028598A" w:rsidRPr="00C96F1A" w:rsidRDefault="00B625AF" w:rsidP="00C96F1A">
      <w:pPr>
        <w:rPr>
          <w:rFonts w:ascii="Arial" w:hAnsi="Arial" w:cs="Arial"/>
        </w:rPr>
      </w:pPr>
      <w:r w:rsidRPr="00C96F1A">
        <w:rPr>
          <w:rFonts w:ascii="Arial" w:hAnsi="Arial" w:cs="Arial"/>
        </w:rPr>
        <w:t>In 2017–18, we:</w:t>
      </w:r>
    </w:p>
    <w:p w:rsidR="00CA19D3" w:rsidRPr="00CA19D3" w:rsidRDefault="00CA19D3" w:rsidP="00D806AE">
      <w:pPr>
        <w:pStyle w:val="ListParagraph"/>
        <w:numPr>
          <w:ilvl w:val="0"/>
          <w:numId w:val="98"/>
        </w:numPr>
      </w:pPr>
      <w:r w:rsidRPr="00CA19D3">
        <w:t xml:space="preserve">delivered a data hosting solution for whole-of-government human resources data for the Public Service Commission </w:t>
      </w:r>
    </w:p>
    <w:p w:rsidR="00CA19D3" w:rsidRPr="00CA19D3" w:rsidRDefault="00CA19D3" w:rsidP="00D806AE">
      <w:pPr>
        <w:pStyle w:val="ListParagraph"/>
        <w:numPr>
          <w:ilvl w:val="0"/>
          <w:numId w:val="98"/>
        </w:numPr>
      </w:pPr>
      <w:r w:rsidRPr="00CA19D3">
        <w:t xml:space="preserve">delivered an interactive, geo-coded dashboard for analysing the impact of unpaid State Penalty Enforcement Registry debts for Queensland Treasury </w:t>
      </w:r>
    </w:p>
    <w:p w:rsidR="00CA19D3" w:rsidRPr="00CA19D3" w:rsidRDefault="00CA19D3" w:rsidP="00D806AE">
      <w:pPr>
        <w:pStyle w:val="ListParagraph"/>
        <w:numPr>
          <w:ilvl w:val="0"/>
          <w:numId w:val="98"/>
        </w:numPr>
      </w:pPr>
      <w:r w:rsidRPr="00CA19D3">
        <w:t xml:space="preserve">delivered an interactive analytics dashboard to give a holistic understanding of the relative strengths and weaknesses in disaster management across Queensland for the Inspector-General Emergency Management </w:t>
      </w:r>
    </w:p>
    <w:p w:rsidR="00CA19D3" w:rsidRPr="00CA19D3" w:rsidRDefault="00CA19D3" w:rsidP="00D806AE">
      <w:pPr>
        <w:pStyle w:val="ListParagraph"/>
        <w:numPr>
          <w:ilvl w:val="0"/>
          <w:numId w:val="98"/>
        </w:numPr>
      </w:pPr>
      <w:r w:rsidRPr="00CA19D3">
        <w:t xml:space="preserve">delivered a data and analytical model to link multiple datasets, including place-based data, to better understand current and future demand for housing and homelessness services </w:t>
      </w:r>
    </w:p>
    <w:p w:rsidR="00CA19D3" w:rsidRPr="00CA19D3" w:rsidRDefault="00CA19D3" w:rsidP="00D806AE">
      <w:pPr>
        <w:pStyle w:val="ListParagraph"/>
        <w:numPr>
          <w:ilvl w:val="0"/>
          <w:numId w:val="98"/>
        </w:numPr>
      </w:pPr>
      <w:r w:rsidRPr="00CA19D3">
        <w:t xml:space="preserve">enabled more than 73 per cent of Queensland Magistrates Court claims documents to be filed electronically (eFiling), delivering efficiencies for businesses by streamlining their debt recovery processes. </w:t>
      </w:r>
    </w:p>
    <w:p w:rsidR="00B63ED2" w:rsidRPr="00B63ED2" w:rsidRDefault="00B63ED2" w:rsidP="00B63ED2">
      <w:pPr>
        <w:pStyle w:val="Heading3"/>
      </w:pPr>
      <w:r w:rsidRPr="00B63ED2">
        <w:lastRenderedPageBreak/>
        <w:t xml:space="preserve">Our future focus </w:t>
      </w:r>
    </w:p>
    <w:p w:rsidR="00B63ED2" w:rsidRPr="00B63ED2" w:rsidRDefault="00B63ED2" w:rsidP="00D806AE">
      <w:pPr>
        <w:pStyle w:val="ListParagraph"/>
        <w:numPr>
          <w:ilvl w:val="0"/>
          <w:numId w:val="98"/>
        </w:numPr>
      </w:pPr>
      <w:r w:rsidRPr="00B63ED2">
        <w:t xml:space="preserve">In 2018–19, the department will continue to provide responsive and integrated ICT infrastructure and information brokerage services that support the Queensland Government’s priorities by: </w:t>
      </w:r>
    </w:p>
    <w:p w:rsidR="00B63ED2" w:rsidRPr="00B63ED2" w:rsidRDefault="00B63ED2" w:rsidP="00D806AE">
      <w:pPr>
        <w:pStyle w:val="ListParagraph"/>
        <w:numPr>
          <w:ilvl w:val="0"/>
          <w:numId w:val="98"/>
        </w:numPr>
      </w:pPr>
      <w:r w:rsidRPr="00B63ED2">
        <w:t xml:space="preserve">improving bandwidth in regional areas by extending the multi-agency shared connectivity service to various locations across the state including Far North Queensland </w:t>
      </w:r>
    </w:p>
    <w:p w:rsidR="00B63ED2" w:rsidRPr="00B63ED2" w:rsidRDefault="00B63ED2" w:rsidP="00D806AE">
      <w:pPr>
        <w:pStyle w:val="ListParagraph"/>
        <w:numPr>
          <w:ilvl w:val="0"/>
          <w:numId w:val="98"/>
        </w:numPr>
      </w:pPr>
      <w:r w:rsidRPr="00B63ED2">
        <w:t xml:space="preserve">implementing the outcomes of evaluations of the </w:t>
      </w:r>
      <w:r w:rsidRPr="00B63ED2">
        <w:rPr>
          <w:i/>
        </w:rPr>
        <w:t>Data Centre Strategy</w:t>
      </w:r>
      <w:r w:rsidRPr="00B63ED2">
        <w:t xml:space="preserve"> which will leverage the Data Centre as-a-Service panel </w:t>
      </w:r>
    </w:p>
    <w:p w:rsidR="00B63ED2" w:rsidRPr="00B63ED2" w:rsidRDefault="00B63ED2" w:rsidP="00D806AE">
      <w:pPr>
        <w:pStyle w:val="ListParagraph"/>
        <w:numPr>
          <w:ilvl w:val="0"/>
          <w:numId w:val="98"/>
        </w:numPr>
      </w:pPr>
      <w:r w:rsidRPr="00B63ED2">
        <w:t xml:space="preserve">further maturing cyber security operations, including hunting, intrusion detection and protection capabilities, and growing the operational network for threat and intelligence sharing </w:t>
      </w:r>
    </w:p>
    <w:p w:rsidR="00B63ED2" w:rsidRPr="00B63ED2" w:rsidRDefault="00B63ED2" w:rsidP="00D806AE">
      <w:pPr>
        <w:pStyle w:val="ListParagraph"/>
        <w:numPr>
          <w:ilvl w:val="0"/>
          <w:numId w:val="98"/>
        </w:numPr>
      </w:pPr>
      <w:r w:rsidRPr="00B63ED2">
        <w:t>collaborating with agencies to deliver data insights and analytics projects and commencing a whole-of-government data sharing program.</w:t>
      </w:r>
    </w:p>
    <w:p w:rsidR="00B63ED2" w:rsidRPr="00B63ED2" w:rsidRDefault="00B63ED2" w:rsidP="00B63ED2">
      <w:pPr>
        <w:pStyle w:val="Heading3"/>
      </w:pPr>
      <w:r w:rsidRPr="00B63ED2">
        <w:t>Service Standards</w:t>
      </w:r>
    </w:p>
    <w:tbl>
      <w:tblPr>
        <w:tblW w:w="9883" w:type="dxa"/>
        <w:tblInd w:w="-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1E0" w:firstRow="1" w:lastRow="1" w:firstColumn="1" w:lastColumn="1" w:noHBand="0" w:noVBand="0"/>
      </w:tblPr>
      <w:tblGrid>
        <w:gridCol w:w="7377"/>
        <w:gridCol w:w="1246"/>
        <w:gridCol w:w="1260"/>
      </w:tblGrid>
      <w:tr w:rsidR="00B63ED2" w:rsidRPr="002C4058" w:rsidTr="00D32A5E">
        <w:trPr>
          <w:tblHeader/>
        </w:trPr>
        <w:tc>
          <w:tcPr>
            <w:tcW w:w="7377" w:type="dxa"/>
            <w:shd w:val="clear" w:color="auto" w:fill="000000" w:themeFill="text1"/>
            <w:vAlign w:val="center"/>
            <w:hideMark/>
          </w:tcPr>
          <w:p w:rsidR="00B63ED2" w:rsidRPr="001A44CE" w:rsidRDefault="00B63ED2" w:rsidP="00D32A5E">
            <w:pPr>
              <w:pStyle w:val="TableTextHeading"/>
              <w:jc w:val="left"/>
              <w:rPr>
                <w:color w:val="FFFFFF" w:themeColor="background1"/>
                <w:vertAlign w:val="superscript"/>
              </w:rPr>
            </w:pPr>
            <w:r w:rsidRPr="11284B68">
              <w:rPr>
                <w:color w:val="FFFFFF" w:themeColor="background1"/>
              </w:rPr>
              <w:t>CITEC</w:t>
            </w:r>
            <w:r w:rsidRPr="11284B68">
              <w:rPr>
                <w:color w:val="FFFFFF" w:themeColor="background1"/>
                <w:vertAlign w:val="superscript"/>
              </w:rPr>
              <w:t>1</w:t>
            </w:r>
          </w:p>
        </w:tc>
        <w:tc>
          <w:tcPr>
            <w:tcW w:w="1246" w:type="dxa"/>
            <w:shd w:val="clear" w:color="auto" w:fill="000000" w:themeFill="text1"/>
            <w:vAlign w:val="center"/>
            <w:hideMark/>
          </w:tcPr>
          <w:p w:rsidR="00B63ED2" w:rsidRPr="002C4058" w:rsidRDefault="00B63ED2" w:rsidP="00D32A5E">
            <w:pPr>
              <w:pStyle w:val="TableTextHeading"/>
              <w:rPr>
                <w:color w:val="FFFFFF" w:themeColor="background1"/>
              </w:rPr>
            </w:pPr>
            <w:r w:rsidRPr="11284B68">
              <w:rPr>
                <w:color w:val="FFFFFF" w:themeColor="background1"/>
              </w:rPr>
              <w:t>2017</w:t>
            </w:r>
            <w:r>
              <w:rPr>
                <w:color w:val="FFFFFF" w:themeColor="background1"/>
              </w:rPr>
              <w:t>–</w:t>
            </w:r>
            <w:r w:rsidRPr="11284B68">
              <w:rPr>
                <w:color w:val="FFFFFF" w:themeColor="background1"/>
              </w:rPr>
              <w:t>18</w:t>
            </w:r>
          </w:p>
          <w:p w:rsidR="00B63ED2" w:rsidRPr="002C4058" w:rsidRDefault="00B63ED2" w:rsidP="00D32A5E">
            <w:pPr>
              <w:pStyle w:val="TableTextHeading"/>
              <w:rPr>
                <w:color w:val="FFFFFF" w:themeColor="background1"/>
              </w:rPr>
            </w:pPr>
            <w:r w:rsidRPr="11284B68">
              <w:rPr>
                <w:color w:val="FFFFFF" w:themeColor="background1"/>
              </w:rPr>
              <w:t>Target/Est.</w:t>
            </w:r>
          </w:p>
        </w:tc>
        <w:tc>
          <w:tcPr>
            <w:tcW w:w="1260" w:type="dxa"/>
            <w:shd w:val="clear" w:color="auto" w:fill="000000" w:themeFill="text1"/>
            <w:vAlign w:val="center"/>
            <w:hideMark/>
          </w:tcPr>
          <w:p w:rsidR="00B63ED2" w:rsidRPr="002C4058" w:rsidRDefault="00B63ED2" w:rsidP="00D32A5E">
            <w:pPr>
              <w:pStyle w:val="TableTextHeading"/>
              <w:rPr>
                <w:color w:val="FFFFFF" w:themeColor="background1"/>
              </w:rPr>
            </w:pPr>
            <w:r w:rsidRPr="11284B68">
              <w:rPr>
                <w:color w:val="FFFFFF" w:themeColor="background1"/>
              </w:rPr>
              <w:t>2017</w:t>
            </w:r>
            <w:r>
              <w:rPr>
                <w:color w:val="FFFFFF" w:themeColor="background1"/>
              </w:rPr>
              <w:t>–</w:t>
            </w:r>
            <w:r w:rsidRPr="11284B68">
              <w:rPr>
                <w:color w:val="FFFFFF" w:themeColor="background1"/>
              </w:rPr>
              <w:t>18</w:t>
            </w:r>
          </w:p>
          <w:p w:rsidR="00B63ED2" w:rsidRPr="002C4058" w:rsidRDefault="00B63ED2" w:rsidP="00D32A5E">
            <w:pPr>
              <w:pStyle w:val="TableTextHeading"/>
              <w:rPr>
                <w:color w:val="FFFFFF" w:themeColor="background1"/>
              </w:rPr>
            </w:pPr>
            <w:r w:rsidRPr="11284B68">
              <w:rPr>
                <w:color w:val="FFFFFF" w:themeColor="background1"/>
              </w:rPr>
              <w:t>Actual</w:t>
            </w:r>
          </w:p>
        </w:tc>
      </w:tr>
      <w:tr w:rsidR="00B63ED2" w:rsidRPr="002D14FD" w:rsidTr="00D32A5E">
        <w:tc>
          <w:tcPr>
            <w:tcW w:w="7377" w:type="dxa"/>
            <w:shd w:val="clear" w:color="auto" w:fill="808080" w:themeFill="text1" w:themeFillTint="7F"/>
            <w:vAlign w:val="bottom"/>
          </w:tcPr>
          <w:p w:rsidR="00B63ED2" w:rsidRPr="00AF05E5" w:rsidRDefault="00B63ED2" w:rsidP="00D32A5E">
            <w:pPr>
              <w:pStyle w:val="TableTextItalics"/>
              <w:rPr>
                <w:b/>
                <w:bCs/>
                <w:color w:val="FFFFFF" w:themeColor="background1"/>
              </w:rPr>
            </w:pPr>
            <w:r w:rsidRPr="11284B68">
              <w:rPr>
                <w:b/>
                <w:bCs/>
                <w:color w:val="FFFFFF" w:themeColor="background1"/>
              </w:rPr>
              <w:t>Service: CITEC ICT</w:t>
            </w:r>
          </w:p>
        </w:tc>
        <w:tc>
          <w:tcPr>
            <w:tcW w:w="1246" w:type="dxa"/>
            <w:shd w:val="clear" w:color="auto" w:fill="808080" w:themeFill="text1" w:themeFillTint="7F"/>
            <w:vAlign w:val="bottom"/>
          </w:tcPr>
          <w:p w:rsidR="00B63ED2" w:rsidRPr="002D14FD" w:rsidRDefault="00B63ED2" w:rsidP="00D32A5E">
            <w:pPr>
              <w:pStyle w:val="TableTextRight"/>
              <w:rPr>
                <w:b/>
                <w:color w:val="FFFFFF" w:themeColor="background1"/>
              </w:rPr>
            </w:pPr>
          </w:p>
        </w:tc>
        <w:tc>
          <w:tcPr>
            <w:tcW w:w="1260" w:type="dxa"/>
            <w:shd w:val="clear" w:color="auto" w:fill="808080" w:themeFill="text1" w:themeFillTint="7F"/>
            <w:vAlign w:val="bottom"/>
          </w:tcPr>
          <w:p w:rsidR="00B63ED2" w:rsidRPr="002D14FD" w:rsidRDefault="00B63ED2" w:rsidP="00D32A5E">
            <w:pPr>
              <w:pStyle w:val="TableTextRight"/>
              <w:rPr>
                <w:b/>
                <w:color w:val="FFFFFF" w:themeColor="background1"/>
              </w:rPr>
            </w:pPr>
          </w:p>
        </w:tc>
      </w:tr>
      <w:tr w:rsidR="00B63ED2" w:rsidRPr="00DE340B" w:rsidTr="00D32A5E">
        <w:tc>
          <w:tcPr>
            <w:tcW w:w="7377" w:type="dxa"/>
            <w:shd w:val="clear" w:color="auto" w:fill="D9D9D9" w:themeFill="background1" w:themeFillShade="D9"/>
            <w:vAlign w:val="bottom"/>
          </w:tcPr>
          <w:p w:rsidR="00B63ED2" w:rsidRPr="00AF05E5" w:rsidRDefault="00B63ED2" w:rsidP="00D32A5E">
            <w:pPr>
              <w:pStyle w:val="TableTextItalics"/>
              <w:rPr>
                <w:b/>
                <w:bCs/>
              </w:rPr>
            </w:pPr>
            <w:r w:rsidRPr="00AF05E5">
              <w:rPr>
                <w:b/>
                <w:bCs/>
              </w:rPr>
              <w:t>Effectiveness measures</w:t>
            </w:r>
          </w:p>
        </w:tc>
        <w:tc>
          <w:tcPr>
            <w:tcW w:w="1246" w:type="dxa"/>
            <w:shd w:val="clear" w:color="auto" w:fill="D9D9D9" w:themeFill="background1" w:themeFillShade="D9"/>
            <w:vAlign w:val="bottom"/>
          </w:tcPr>
          <w:p w:rsidR="00B63ED2" w:rsidRPr="00DE340B" w:rsidRDefault="00B63ED2" w:rsidP="00D32A5E">
            <w:pPr>
              <w:pStyle w:val="TableTextRight"/>
              <w:rPr>
                <w:b/>
              </w:rPr>
            </w:pPr>
          </w:p>
        </w:tc>
        <w:tc>
          <w:tcPr>
            <w:tcW w:w="1260" w:type="dxa"/>
            <w:shd w:val="clear" w:color="auto" w:fill="D9D9D9" w:themeFill="background1" w:themeFillShade="D9"/>
            <w:vAlign w:val="bottom"/>
          </w:tcPr>
          <w:p w:rsidR="00B63ED2" w:rsidRPr="00DE340B" w:rsidRDefault="00B63ED2" w:rsidP="00D32A5E">
            <w:pPr>
              <w:pStyle w:val="TableTextRight"/>
              <w:rPr>
                <w:b/>
              </w:rPr>
            </w:pPr>
          </w:p>
        </w:tc>
      </w:tr>
      <w:tr w:rsidR="00B63ED2" w:rsidRPr="00246DD9" w:rsidTr="00D32A5E">
        <w:tc>
          <w:tcPr>
            <w:tcW w:w="7377" w:type="dxa"/>
            <w:tcBorders>
              <w:bottom w:val="nil"/>
            </w:tcBorders>
            <w:vAlign w:val="bottom"/>
            <w:hideMark/>
          </w:tcPr>
          <w:p w:rsidR="00B63ED2" w:rsidRPr="006C320B" w:rsidRDefault="00B63ED2" w:rsidP="00D32A5E">
            <w:pPr>
              <w:pStyle w:val="TableText"/>
            </w:pPr>
            <w:r w:rsidRPr="00634741">
              <w:t>CITEC ICT customer satisfaction</w:t>
            </w:r>
          </w:p>
        </w:tc>
        <w:tc>
          <w:tcPr>
            <w:tcW w:w="1246" w:type="dxa"/>
            <w:tcBorders>
              <w:bottom w:val="nil"/>
            </w:tcBorders>
            <w:vAlign w:val="bottom"/>
          </w:tcPr>
          <w:p w:rsidR="00B63ED2" w:rsidRPr="006C320B" w:rsidRDefault="00B63ED2" w:rsidP="00D32A5E">
            <w:pPr>
              <w:pStyle w:val="TableTextRight"/>
            </w:pPr>
            <w:r w:rsidRPr="00204D85">
              <w:t>&gt;70%</w:t>
            </w:r>
          </w:p>
        </w:tc>
        <w:tc>
          <w:tcPr>
            <w:tcW w:w="1260" w:type="dxa"/>
            <w:tcBorders>
              <w:bottom w:val="nil"/>
            </w:tcBorders>
            <w:vAlign w:val="bottom"/>
          </w:tcPr>
          <w:p w:rsidR="00B63ED2" w:rsidRPr="006C320B" w:rsidRDefault="00B63ED2" w:rsidP="00D32A5E">
            <w:pPr>
              <w:pStyle w:val="TableTextRight"/>
            </w:pPr>
            <w:r>
              <w:t>84%</w:t>
            </w:r>
          </w:p>
        </w:tc>
      </w:tr>
      <w:tr w:rsidR="00B63ED2" w:rsidRPr="00246DD9" w:rsidTr="00D32A5E">
        <w:tc>
          <w:tcPr>
            <w:tcW w:w="7377" w:type="dxa"/>
            <w:tcBorders>
              <w:top w:val="nil"/>
            </w:tcBorders>
            <w:vAlign w:val="bottom"/>
          </w:tcPr>
          <w:p w:rsidR="00B63ED2" w:rsidRPr="007B50F7" w:rsidRDefault="007B50F7" w:rsidP="007B50F7">
            <w:pPr>
              <w:pStyle w:val="Pa57"/>
              <w:spacing w:after="40"/>
              <w:rPr>
                <w:rFonts w:cs="MetaNormalLF-Italic"/>
                <w:color w:val="000000"/>
                <w:sz w:val="14"/>
                <w:szCs w:val="14"/>
              </w:rPr>
            </w:pPr>
            <w:r w:rsidRPr="004027DF">
              <w:rPr>
                <w:rFonts w:ascii="Arial Narrow" w:eastAsia="Arial Narrow" w:hAnsi="Arial Narrow" w:cs="Arial Narrow"/>
                <w:i/>
                <w:iCs/>
                <w:sz w:val="16"/>
                <w:szCs w:val="16"/>
              </w:rPr>
              <w:t>CITEC ICT has successfully implemented a dedicated program of work to improve services and outcomes for its customers. This is reflected in the high result for 2017–18 Actual.</w:t>
            </w:r>
            <w:r>
              <w:rPr>
                <w:rFonts w:cs="MetaNormalLF-Italic"/>
                <w:color w:val="403F41"/>
                <w:sz w:val="14"/>
                <w:szCs w:val="14"/>
              </w:rPr>
              <w:t xml:space="preserve"> </w:t>
            </w:r>
          </w:p>
        </w:tc>
        <w:tc>
          <w:tcPr>
            <w:tcW w:w="1246" w:type="dxa"/>
            <w:tcBorders>
              <w:top w:val="nil"/>
            </w:tcBorders>
            <w:vAlign w:val="bottom"/>
          </w:tcPr>
          <w:p w:rsidR="00B63ED2" w:rsidRPr="006C320B" w:rsidRDefault="00B63ED2" w:rsidP="00D32A5E">
            <w:pPr>
              <w:pStyle w:val="TableTextRight"/>
            </w:pPr>
          </w:p>
        </w:tc>
        <w:tc>
          <w:tcPr>
            <w:tcW w:w="1260" w:type="dxa"/>
            <w:tcBorders>
              <w:top w:val="nil"/>
            </w:tcBorders>
            <w:vAlign w:val="bottom"/>
          </w:tcPr>
          <w:p w:rsidR="00B63ED2" w:rsidRDefault="00B63ED2" w:rsidP="00D32A5E">
            <w:pPr>
              <w:pStyle w:val="TableTextRight"/>
            </w:pPr>
          </w:p>
        </w:tc>
      </w:tr>
      <w:tr w:rsidR="00B63ED2" w:rsidRPr="002D14FD" w:rsidTr="00D32A5E">
        <w:tc>
          <w:tcPr>
            <w:tcW w:w="7377" w:type="dxa"/>
            <w:shd w:val="clear" w:color="auto" w:fill="D9D9D9" w:themeFill="background1" w:themeFillShade="D9"/>
            <w:vAlign w:val="bottom"/>
          </w:tcPr>
          <w:p w:rsidR="00B63ED2" w:rsidRPr="00AF05E5" w:rsidRDefault="00B63ED2" w:rsidP="00D32A5E">
            <w:pPr>
              <w:pStyle w:val="TableTextItalics"/>
              <w:rPr>
                <w:b/>
                <w:bCs/>
              </w:rPr>
            </w:pPr>
            <w:r w:rsidRPr="00AF05E5">
              <w:rPr>
                <w:b/>
                <w:bCs/>
              </w:rPr>
              <w:t>Efficiency measures</w:t>
            </w:r>
          </w:p>
        </w:tc>
        <w:tc>
          <w:tcPr>
            <w:tcW w:w="1246" w:type="dxa"/>
            <w:shd w:val="clear" w:color="auto" w:fill="D9D9D9" w:themeFill="background1" w:themeFillShade="D9"/>
            <w:vAlign w:val="bottom"/>
          </w:tcPr>
          <w:p w:rsidR="00B63ED2" w:rsidRPr="002D14FD" w:rsidRDefault="00B63ED2" w:rsidP="00D32A5E">
            <w:pPr>
              <w:pStyle w:val="TableTextRight"/>
              <w:rPr>
                <w:b/>
              </w:rPr>
            </w:pPr>
          </w:p>
        </w:tc>
        <w:tc>
          <w:tcPr>
            <w:tcW w:w="1260" w:type="dxa"/>
            <w:shd w:val="clear" w:color="auto" w:fill="D9D9D9" w:themeFill="background1" w:themeFillShade="D9"/>
            <w:vAlign w:val="bottom"/>
          </w:tcPr>
          <w:p w:rsidR="00B63ED2" w:rsidRPr="002D14FD" w:rsidRDefault="00B63ED2" w:rsidP="00D32A5E">
            <w:pPr>
              <w:pStyle w:val="TableTextRight"/>
              <w:rPr>
                <w:b/>
              </w:rPr>
            </w:pPr>
          </w:p>
        </w:tc>
      </w:tr>
      <w:tr w:rsidR="00B63ED2" w:rsidRPr="00246DD9" w:rsidTr="00D32A5E">
        <w:tc>
          <w:tcPr>
            <w:tcW w:w="7377" w:type="dxa"/>
            <w:tcBorders>
              <w:bottom w:val="nil"/>
            </w:tcBorders>
            <w:vAlign w:val="bottom"/>
            <w:hideMark/>
          </w:tcPr>
          <w:p w:rsidR="00B63ED2" w:rsidRPr="006C320B" w:rsidRDefault="00B63ED2" w:rsidP="00D32A5E">
            <w:pPr>
              <w:pStyle w:val="TableText"/>
            </w:pPr>
            <w:r w:rsidRPr="00FD30DE">
              <w:t xml:space="preserve">CITEC ICT </w:t>
            </w:r>
            <w:r>
              <w:t>e</w:t>
            </w:r>
            <w:r w:rsidRPr="00FD30DE">
              <w:t xml:space="preserve">arnings before interest and tax less </w:t>
            </w:r>
            <w:r>
              <w:t>d</w:t>
            </w:r>
            <w:r w:rsidRPr="00FD30DE">
              <w:t xml:space="preserve">epreciation and </w:t>
            </w:r>
            <w:r>
              <w:t>a</w:t>
            </w:r>
            <w:r w:rsidRPr="00FD30DE">
              <w:t>mortisation (EBITDA)</w:t>
            </w:r>
          </w:p>
        </w:tc>
        <w:tc>
          <w:tcPr>
            <w:tcW w:w="1246" w:type="dxa"/>
            <w:tcBorders>
              <w:bottom w:val="nil"/>
            </w:tcBorders>
            <w:vAlign w:val="bottom"/>
          </w:tcPr>
          <w:p w:rsidR="00B63ED2" w:rsidRPr="006C320B" w:rsidRDefault="00B63ED2" w:rsidP="00D32A5E">
            <w:pPr>
              <w:pStyle w:val="TableTextRight"/>
            </w:pPr>
            <w:r w:rsidRPr="00F03928">
              <w:t>($2.373m)</w:t>
            </w:r>
          </w:p>
        </w:tc>
        <w:tc>
          <w:tcPr>
            <w:tcW w:w="1260" w:type="dxa"/>
            <w:tcBorders>
              <w:bottom w:val="nil"/>
            </w:tcBorders>
            <w:vAlign w:val="bottom"/>
          </w:tcPr>
          <w:p w:rsidR="00B63ED2" w:rsidRPr="006C320B" w:rsidRDefault="00B63ED2" w:rsidP="00D32A5E">
            <w:pPr>
              <w:pStyle w:val="TableTextRight"/>
            </w:pPr>
            <w:r w:rsidRPr="00F03928">
              <w:t>$</w:t>
            </w:r>
            <w:r>
              <w:t>3.395</w:t>
            </w:r>
            <w:r w:rsidRPr="00F03928">
              <w:t>m</w:t>
            </w:r>
          </w:p>
        </w:tc>
      </w:tr>
      <w:tr w:rsidR="00B63ED2" w:rsidRPr="00AE6204" w:rsidTr="00D32A5E">
        <w:tc>
          <w:tcPr>
            <w:tcW w:w="7377" w:type="dxa"/>
            <w:tcBorders>
              <w:top w:val="nil"/>
            </w:tcBorders>
            <w:vAlign w:val="bottom"/>
          </w:tcPr>
          <w:p w:rsidR="00B63ED2" w:rsidRPr="007B50F7" w:rsidRDefault="007B50F7" w:rsidP="007B50F7">
            <w:pPr>
              <w:pStyle w:val="Pa57"/>
              <w:spacing w:after="40"/>
              <w:rPr>
                <w:rFonts w:cs="MetaNormalLF-Italic"/>
                <w:color w:val="403F41"/>
                <w:sz w:val="14"/>
                <w:szCs w:val="14"/>
              </w:rPr>
            </w:pPr>
            <w:r w:rsidRPr="004027DF">
              <w:rPr>
                <w:rFonts w:ascii="Arial Narrow" w:eastAsia="Arial Narrow" w:hAnsi="Arial Narrow" w:cs="Arial Narrow"/>
                <w:i/>
                <w:iCs/>
                <w:sz w:val="16"/>
                <w:szCs w:val="16"/>
              </w:rPr>
              <w:t>Positive variance between 2017–18 Target/Estimate and 2017–18 Actual is due to lower than budgeted expenses and higher than anticipated revenue.</w:t>
            </w:r>
            <w:r>
              <w:rPr>
                <w:rFonts w:cs="MetaNormalLF-Italic"/>
                <w:color w:val="403F41"/>
                <w:sz w:val="14"/>
                <w:szCs w:val="14"/>
              </w:rPr>
              <w:t xml:space="preserve"> </w:t>
            </w:r>
          </w:p>
        </w:tc>
        <w:tc>
          <w:tcPr>
            <w:tcW w:w="1246" w:type="dxa"/>
            <w:tcBorders>
              <w:top w:val="nil"/>
            </w:tcBorders>
            <w:vAlign w:val="bottom"/>
          </w:tcPr>
          <w:p w:rsidR="00B63ED2" w:rsidRPr="00AE6204" w:rsidRDefault="00B63ED2" w:rsidP="00D32A5E">
            <w:pPr>
              <w:pStyle w:val="TableText"/>
              <w:rPr>
                <w:rFonts w:ascii="Arial Narrow" w:hAnsi="Arial Narrow"/>
                <w:i/>
                <w:sz w:val="14"/>
                <w:szCs w:val="14"/>
              </w:rPr>
            </w:pPr>
          </w:p>
        </w:tc>
        <w:tc>
          <w:tcPr>
            <w:tcW w:w="1260" w:type="dxa"/>
            <w:tcBorders>
              <w:top w:val="nil"/>
            </w:tcBorders>
            <w:vAlign w:val="bottom"/>
          </w:tcPr>
          <w:p w:rsidR="00B63ED2" w:rsidRPr="00AE6204" w:rsidRDefault="00B63ED2" w:rsidP="00D32A5E">
            <w:pPr>
              <w:pStyle w:val="TableText"/>
              <w:rPr>
                <w:rFonts w:ascii="Arial Narrow" w:hAnsi="Arial Narrow"/>
                <w:i/>
                <w:sz w:val="14"/>
                <w:szCs w:val="14"/>
              </w:rPr>
            </w:pPr>
          </w:p>
        </w:tc>
      </w:tr>
      <w:tr w:rsidR="00B63ED2" w:rsidRPr="002D14FD" w:rsidTr="00D32A5E">
        <w:tc>
          <w:tcPr>
            <w:tcW w:w="7377" w:type="dxa"/>
            <w:shd w:val="clear" w:color="auto" w:fill="808080" w:themeFill="text1" w:themeFillTint="7F"/>
            <w:vAlign w:val="bottom"/>
          </w:tcPr>
          <w:p w:rsidR="00B63ED2" w:rsidRPr="00AF05E5" w:rsidRDefault="00B63ED2" w:rsidP="007B50F7">
            <w:pPr>
              <w:pStyle w:val="TableTextItalics"/>
              <w:rPr>
                <w:b/>
                <w:bCs/>
                <w:color w:val="FFFFFF" w:themeColor="background1"/>
              </w:rPr>
            </w:pPr>
            <w:r w:rsidRPr="11284B68">
              <w:rPr>
                <w:b/>
                <w:bCs/>
                <w:color w:val="FFFFFF" w:themeColor="background1"/>
              </w:rPr>
              <w:t>Service: CITEC</w:t>
            </w:r>
            <w:r w:rsidR="007B50F7">
              <w:rPr>
                <w:b/>
                <w:bCs/>
                <w:color w:val="FFFFFF" w:themeColor="background1"/>
              </w:rPr>
              <w:t xml:space="preserve"> </w:t>
            </w:r>
            <w:r w:rsidR="007B50F7" w:rsidRPr="007B50F7">
              <w:rPr>
                <w:b/>
                <w:bCs/>
                <w:color w:val="FFFFFF" w:themeColor="background1"/>
              </w:rPr>
              <w:t>information Brokerage</w:t>
            </w:r>
            <w:r w:rsidR="007B50F7">
              <w:rPr>
                <w:rFonts w:cs="MetaBoldLF-Roman"/>
                <w:color w:val="FFFFFF"/>
                <w:sz w:val="18"/>
              </w:rPr>
              <w:t xml:space="preserve"> </w:t>
            </w:r>
          </w:p>
        </w:tc>
        <w:tc>
          <w:tcPr>
            <w:tcW w:w="1246" w:type="dxa"/>
            <w:shd w:val="clear" w:color="auto" w:fill="808080" w:themeFill="text1" w:themeFillTint="7F"/>
            <w:vAlign w:val="bottom"/>
          </w:tcPr>
          <w:p w:rsidR="00B63ED2" w:rsidRPr="002D14FD" w:rsidRDefault="00B63ED2" w:rsidP="00D32A5E">
            <w:pPr>
              <w:pStyle w:val="TableTextRight"/>
              <w:rPr>
                <w:b/>
                <w:color w:val="FFFFFF" w:themeColor="background1"/>
              </w:rPr>
            </w:pPr>
          </w:p>
        </w:tc>
        <w:tc>
          <w:tcPr>
            <w:tcW w:w="1260" w:type="dxa"/>
            <w:shd w:val="clear" w:color="auto" w:fill="808080" w:themeFill="text1" w:themeFillTint="7F"/>
            <w:vAlign w:val="bottom"/>
          </w:tcPr>
          <w:p w:rsidR="00B63ED2" w:rsidRPr="002D14FD" w:rsidRDefault="00B63ED2" w:rsidP="00D32A5E">
            <w:pPr>
              <w:pStyle w:val="TableTextRight"/>
              <w:rPr>
                <w:b/>
                <w:color w:val="FFFFFF" w:themeColor="background1"/>
              </w:rPr>
            </w:pPr>
          </w:p>
        </w:tc>
      </w:tr>
      <w:tr w:rsidR="00B63ED2" w:rsidRPr="00DE340B" w:rsidTr="00D32A5E">
        <w:tc>
          <w:tcPr>
            <w:tcW w:w="7377" w:type="dxa"/>
            <w:shd w:val="clear" w:color="auto" w:fill="D9D9D9" w:themeFill="background1" w:themeFillShade="D9"/>
            <w:vAlign w:val="bottom"/>
          </w:tcPr>
          <w:p w:rsidR="00B63ED2" w:rsidRPr="00AF05E5" w:rsidRDefault="00B63ED2" w:rsidP="00D32A5E">
            <w:pPr>
              <w:pStyle w:val="TableTextItalics"/>
              <w:rPr>
                <w:b/>
                <w:bCs/>
              </w:rPr>
            </w:pPr>
            <w:r w:rsidRPr="00AF05E5">
              <w:rPr>
                <w:b/>
                <w:bCs/>
              </w:rPr>
              <w:t>Effectiveness measures</w:t>
            </w:r>
          </w:p>
        </w:tc>
        <w:tc>
          <w:tcPr>
            <w:tcW w:w="1246" w:type="dxa"/>
            <w:shd w:val="clear" w:color="auto" w:fill="D9D9D9" w:themeFill="background1" w:themeFillShade="D9"/>
            <w:vAlign w:val="bottom"/>
          </w:tcPr>
          <w:p w:rsidR="00B63ED2" w:rsidRPr="00DE340B" w:rsidRDefault="00B63ED2" w:rsidP="00D32A5E">
            <w:pPr>
              <w:pStyle w:val="TableTextRight"/>
              <w:rPr>
                <w:b/>
              </w:rPr>
            </w:pPr>
          </w:p>
        </w:tc>
        <w:tc>
          <w:tcPr>
            <w:tcW w:w="1260" w:type="dxa"/>
            <w:shd w:val="clear" w:color="auto" w:fill="D9D9D9" w:themeFill="background1" w:themeFillShade="D9"/>
            <w:vAlign w:val="bottom"/>
          </w:tcPr>
          <w:p w:rsidR="00B63ED2" w:rsidRPr="00DE340B" w:rsidRDefault="00B63ED2" w:rsidP="00D32A5E">
            <w:pPr>
              <w:pStyle w:val="TableTextRight"/>
              <w:rPr>
                <w:b/>
              </w:rPr>
            </w:pPr>
          </w:p>
        </w:tc>
      </w:tr>
      <w:tr w:rsidR="00B63ED2" w:rsidRPr="00246DD9" w:rsidTr="00D32A5E">
        <w:tc>
          <w:tcPr>
            <w:tcW w:w="7377" w:type="dxa"/>
            <w:tcBorders>
              <w:bottom w:val="nil"/>
            </w:tcBorders>
            <w:vAlign w:val="bottom"/>
            <w:hideMark/>
          </w:tcPr>
          <w:p w:rsidR="00B63ED2" w:rsidRPr="006C320B" w:rsidRDefault="00B63ED2" w:rsidP="00D32A5E">
            <w:pPr>
              <w:pStyle w:val="TableText"/>
            </w:pPr>
            <w:r w:rsidRPr="00326919">
              <w:t>CITEC IB customer satisfaction</w:t>
            </w:r>
          </w:p>
        </w:tc>
        <w:tc>
          <w:tcPr>
            <w:tcW w:w="1246" w:type="dxa"/>
            <w:tcBorders>
              <w:bottom w:val="nil"/>
            </w:tcBorders>
            <w:vAlign w:val="bottom"/>
          </w:tcPr>
          <w:p w:rsidR="00B63ED2" w:rsidRPr="006C320B" w:rsidRDefault="00B63ED2" w:rsidP="00D32A5E">
            <w:pPr>
              <w:pStyle w:val="TableTextRight"/>
            </w:pPr>
            <w:r>
              <w:t>&gt;80%</w:t>
            </w:r>
          </w:p>
        </w:tc>
        <w:tc>
          <w:tcPr>
            <w:tcW w:w="1260" w:type="dxa"/>
            <w:tcBorders>
              <w:bottom w:val="nil"/>
            </w:tcBorders>
            <w:vAlign w:val="bottom"/>
          </w:tcPr>
          <w:p w:rsidR="00B63ED2" w:rsidRPr="006C320B" w:rsidRDefault="00B63ED2" w:rsidP="00D32A5E">
            <w:pPr>
              <w:pStyle w:val="TableTextRight"/>
            </w:pPr>
            <w:r>
              <w:t>91%</w:t>
            </w:r>
          </w:p>
        </w:tc>
      </w:tr>
      <w:tr w:rsidR="00B63ED2" w:rsidRPr="00AE6204" w:rsidTr="00D32A5E">
        <w:tc>
          <w:tcPr>
            <w:tcW w:w="7377" w:type="dxa"/>
            <w:tcBorders>
              <w:top w:val="nil"/>
            </w:tcBorders>
            <w:vAlign w:val="bottom"/>
          </w:tcPr>
          <w:p w:rsidR="00B63ED2" w:rsidRPr="004027DF" w:rsidRDefault="007B50F7" w:rsidP="004027DF">
            <w:pPr>
              <w:pStyle w:val="Pa57"/>
              <w:spacing w:after="40"/>
              <w:rPr>
                <w:rFonts w:ascii="Arial Narrow" w:eastAsia="Arial Narrow" w:hAnsi="Arial Narrow" w:cs="Arial Narrow"/>
                <w:i/>
                <w:iCs/>
                <w:sz w:val="16"/>
                <w:szCs w:val="16"/>
              </w:rPr>
            </w:pPr>
            <w:r w:rsidRPr="004027DF">
              <w:rPr>
                <w:rFonts w:ascii="Arial Narrow" w:eastAsia="Arial Narrow" w:hAnsi="Arial Narrow" w:cs="Arial Narrow"/>
                <w:i/>
                <w:iCs/>
                <w:sz w:val="16"/>
                <w:szCs w:val="16"/>
              </w:rPr>
              <w:t xml:space="preserve">The positive result for 2017–18 is attributed to high levels of customer satisfaction with the CITEC Confirm Service Centre as well as the quality and timeliness of the CITEC Confirm service. </w:t>
            </w:r>
          </w:p>
        </w:tc>
        <w:tc>
          <w:tcPr>
            <w:tcW w:w="1246" w:type="dxa"/>
            <w:tcBorders>
              <w:top w:val="nil"/>
            </w:tcBorders>
            <w:vAlign w:val="bottom"/>
          </w:tcPr>
          <w:p w:rsidR="00B63ED2" w:rsidRPr="00AE6204" w:rsidRDefault="00B63ED2" w:rsidP="00D32A5E">
            <w:pPr>
              <w:pStyle w:val="TableText"/>
              <w:rPr>
                <w:rFonts w:ascii="Arial Narrow" w:hAnsi="Arial Narrow"/>
                <w:i/>
                <w:sz w:val="14"/>
                <w:szCs w:val="14"/>
              </w:rPr>
            </w:pPr>
          </w:p>
        </w:tc>
        <w:tc>
          <w:tcPr>
            <w:tcW w:w="1260" w:type="dxa"/>
            <w:tcBorders>
              <w:top w:val="nil"/>
            </w:tcBorders>
            <w:vAlign w:val="bottom"/>
          </w:tcPr>
          <w:p w:rsidR="00B63ED2" w:rsidRPr="00AE6204" w:rsidRDefault="00B63ED2" w:rsidP="00D32A5E">
            <w:pPr>
              <w:pStyle w:val="TableText"/>
              <w:rPr>
                <w:rFonts w:ascii="Arial Narrow" w:hAnsi="Arial Narrow"/>
                <w:i/>
                <w:sz w:val="14"/>
                <w:szCs w:val="14"/>
              </w:rPr>
            </w:pPr>
          </w:p>
        </w:tc>
      </w:tr>
      <w:tr w:rsidR="00B63ED2" w:rsidRPr="002D14FD" w:rsidTr="00D32A5E">
        <w:tc>
          <w:tcPr>
            <w:tcW w:w="7377" w:type="dxa"/>
            <w:shd w:val="clear" w:color="auto" w:fill="D9D9D9" w:themeFill="background1" w:themeFillShade="D9"/>
            <w:vAlign w:val="bottom"/>
          </w:tcPr>
          <w:p w:rsidR="00B63ED2" w:rsidRPr="00AF05E5" w:rsidRDefault="00B63ED2" w:rsidP="00D32A5E">
            <w:pPr>
              <w:pStyle w:val="TableTextItalics"/>
              <w:rPr>
                <w:b/>
                <w:bCs/>
              </w:rPr>
            </w:pPr>
            <w:r w:rsidRPr="00AF05E5">
              <w:rPr>
                <w:b/>
                <w:bCs/>
              </w:rPr>
              <w:t>Efficiency measures</w:t>
            </w:r>
          </w:p>
        </w:tc>
        <w:tc>
          <w:tcPr>
            <w:tcW w:w="1246" w:type="dxa"/>
            <w:shd w:val="clear" w:color="auto" w:fill="D9D9D9" w:themeFill="background1" w:themeFillShade="D9"/>
            <w:vAlign w:val="bottom"/>
          </w:tcPr>
          <w:p w:rsidR="00B63ED2" w:rsidRPr="002D14FD" w:rsidRDefault="00B63ED2" w:rsidP="00D32A5E">
            <w:pPr>
              <w:pStyle w:val="TableTextRight"/>
              <w:rPr>
                <w:b/>
              </w:rPr>
            </w:pPr>
          </w:p>
        </w:tc>
        <w:tc>
          <w:tcPr>
            <w:tcW w:w="1260" w:type="dxa"/>
            <w:shd w:val="clear" w:color="auto" w:fill="D9D9D9" w:themeFill="background1" w:themeFillShade="D9"/>
            <w:vAlign w:val="bottom"/>
          </w:tcPr>
          <w:p w:rsidR="00B63ED2" w:rsidRPr="002D14FD" w:rsidRDefault="00B63ED2" w:rsidP="00D32A5E">
            <w:pPr>
              <w:pStyle w:val="TableTextRight"/>
              <w:rPr>
                <w:b/>
              </w:rPr>
            </w:pPr>
          </w:p>
        </w:tc>
      </w:tr>
      <w:tr w:rsidR="00B63ED2" w:rsidRPr="00246DD9" w:rsidTr="00D32A5E">
        <w:tc>
          <w:tcPr>
            <w:tcW w:w="7377" w:type="dxa"/>
            <w:tcBorders>
              <w:bottom w:val="nil"/>
            </w:tcBorders>
            <w:vAlign w:val="bottom"/>
          </w:tcPr>
          <w:p w:rsidR="00B63ED2" w:rsidRPr="006C320B" w:rsidRDefault="00B63ED2" w:rsidP="00D32A5E">
            <w:pPr>
              <w:pStyle w:val="TableText"/>
            </w:pPr>
            <w:r w:rsidRPr="00F53BD5">
              <w:t xml:space="preserve">CITEC IB </w:t>
            </w:r>
            <w:r>
              <w:t>e</w:t>
            </w:r>
            <w:r w:rsidRPr="00F53BD5">
              <w:t xml:space="preserve">arnings before interest and tax less </w:t>
            </w:r>
            <w:r>
              <w:t>d</w:t>
            </w:r>
            <w:r w:rsidRPr="00F53BD5">
              <w:t xml:space="preserve">epreciation and </w:t>
            </w:r>
            <w:r>
              <w:t>a</w:t>
            </w:r>
            <w:r w:rsidRPr="00F53BD5">
              <w:t>mortisation (EBITDA)</w:t>
            </w:r>
          </w:p>
        </w:tc>
        <w:tc>
          <w:tcPr>
            <w:tcW w:w="1246" w:type="dxa"/>
            <w:tcBorders>
              <w:bottom w:val="nil"/>
            </w:tcBorders>
            <w:vAlign w:val="bottom"/>
          </w:tcPr>
          <w:p w:rsidR="00B63ED2" w:rsidRPr="006C320B" w:rsidRDefault="00B63ED2" w:rsidP="00D32A5E">
            <w:pPr>
              <w:pStyle w:val="TableTextRight"/>
            </w:pPr>
            <w:r w:rsidRPr="00F03928">
              <w:t>($3.707m)</w:t>
            </w:r>
          </w:p>
        </w:tc>
        <w:tc>
          <w:tcPr>
            <w:tcW w:w="1260" w:type="dxa"/>
            <w:tcBorders>
              <w:bottom w:val="nil"/>
            </w:tcBorders>
            <w:vAlign w:val="bottom"/>
          </w:tcPr>
          <w:p w:rsidR="00B63ED2" w:rsidRPr="006C320B" w:rsidRDefault="00B63ED2" w:rsidP="00D32A5E">
            <w:pPr>
              <w:pStyle w:val="TableTextRight"/>
            </w:pPr>
            <w:r w:rsidRPr="00F03928">
              <w:t>($0.068m)</w:t>
            </w:r>
          </w:p>
        </w:tc>
      </w:tr>
      <w:tr w:rsidR="00B63ED2" w:rsidRPr="00AE6204" w:rsidTr="00D32A5E">
        <w:tc>
          <w:tcPr>
            <w:tcW w:w="7377" w:type="dxa"/>
            <w:tcBorders>
              <w:top w:val="nil"/>
            </w:tcBorders>
            <w:vAlign w:val="bottom"/>
          </w:tcPr>
          <w:p w:rsidR="00B63ED2" w:rsidRPr="005B7038" w:rsidRDefault="007B50F7" w:rsidP="004027DF">
            <w:pPr>
              <w:pStyle w:val="Pa57"/>
              <w:spacing w:after="40"/>
              <w:rPr>
                <w:rFonts w:ascii="Arial Narrow" w:eastAsia="Arial Narrow" w:hAnsi="Arial Narrow" w:cs="Arial Narrow"/>
                <w:i/>
              </w:rPr>
            </w:pPr>
            <w:r w:rsidRPr="004027DF">
              <w:rPr>
                <w:rFonts w:ascii="Arial Narrow" w:eastAsia="Arial Narrow" w:hAnsi="Arial Narrow" w:cs="Arial Narrow"/>
                <w:i/>
                <w:iCs/>
                <w:sz w:val="16"/>
                <w:szCs w:val="16"/>
              </w:rPr>
              <w:t>Positive variance between 2017–18 Target/Estimate and 2017–18 Actual is due to efficient management of costs and revenue streams.</w:t>
            </w:r>
            <w:r>
              <w:rPr>
                <w:rFonts w:cs="MetaNormalLF-Italic"/>
                <w:color w:val="403F41"/>
                <w:sz w:val="14"/>
                <w:szCs w:val="14"/>
              </w:rPr>
              <w:t xml:space="preserve"> </w:t>
            </w:r>
          </w:p>
        </w:tc>
        <w:tc>
          <w:tcPr>
            <w:tcW w:w="1246" w:type="dxa"/>
            <w:tcBorders>
              <w:top w:val="nil"/>
            </w:tcBorders>
            <w:vAlign w:val="bottom"/>
          </w:tcPr>
          <w:p w:rsidR="00B63ED2" w:rsidRPr="00AE6204" w:rsidRDefault="00B63ED2" w:rsidP="00D32A5E">
            <w:pPr>
              <w:pStyle w:val="TableText"/>
              <w:rPr>
                <w:rFonts w:ascii="Arial Narrow" w:hAnsi="Arial Narrow"/>
                <w:i/>
                <w:sz w:val="14"/>
                <w:szCs w:val="14"/>
              </w:rPr>
            </w:pPr>
          </w:p>
        </w:tc>
        <w:tc>
          <w:tcPr>
            <w:tcW w:w="1260" w:type="dxa"/>
            <w:tcBorders>
              <w:top w:val="nil"/>
            </w:tcBorders>
            <w:vAlign w:val="bottom"/>
          </w:tcPr>
          <w:p w:rsidR="00B63ED2" w:rsidRPr="00AE6204" w:rsidRDefault="00B63ED2" w:rsidP="00D32A5E">
            <w:pPr>
              <w:pStyle w:val="TableText"/>
              <w:rPr>
                <w:rFonts w:ascii="Arial Narrow" w:hAnsi="Arial Narrow"/>
                <w:i/>
                <w:sz w:val="14"/>
                <w:szCs w:val="14"/>
              </w:rPr>
            </w:pPr>
          </w:p>
        </w:tc>
      </w:tr>
    </w:tbl>
    <w:p w:rsidR="00B63ED2" w:rsidRDefault="00B63ED2" w:rsidP="00B63ED2">
      <w:pPr>
        <w:spacing w:line="259" w:lineRule="auto"/>
      </w:pPr>
      <w:r>
        <w:t>Note:</w:t>
      </w:r>
    </w:p>
    <w:p w:rsidR="00B63ED2" w:rsidRPr="003C1C68" w:rsidRDefault="00B63ED2" w:rsidP="00D806AE">
      <w:pPr>
        <w:pStyle w:val="Pa57"/>
        <w:numPr>
          <w:ilvl w:val="0"/>
          <w:numId w:val="99"/>
        </w:numPr>
        <w:spacing w:after="40"/>
        <w:rPr>
          <w:rFonts w:ascii="Arial Narrow" w:eastAsia="Arial Narrow" w:hAnsi="Arial Narrow" w:cs="Arial Narrow"/>
          <w:i/>
          <w:iCs/>
          <w:sz w:val="16"/>
          <w:szCs w:val="16"/>
        </w:rPr>
      </w:pPr>
      <w:r w:rsidRPr="003C1C68">
        <w:rPr>
          <w:rFonts w:ascii="Arial Narrow" w:eastAsia="Arial Narrow" w:hAnsi="Arial Narrow" w:cs="Arial Narrow"/>
          <w:i/>
          <w:iCs/>
          <w:sz w:val="16"/>
          <w:szCs w:val="16"/>
        </w:rPr>
        <w:t xml:space="preserve">This service area was transferred from the (former) Department of Science, Information Technology and Innovation following machinery-of-government changes. </w:t>
      </w:r>
    </w:p>
    <w:p w:rsidR="00B63ED2" w:rsidRDefault="00B63ED2">
      <w:pPr>
        <w:spacing w:before="0" w:after="0"/>
        <w:rPr>
          <w:rFonts w:ascii="Arial" w:hAnsi="Arial" w:cs="Arial"/>
        </w:rPr>
      </w:pPr>
      <w:r>
        <w:rPr>
          <w:rFonts w:ascii="Arial" w:hAnsi="Arial" w:cs="Arial"/>
        </w:rPr>
        <w:br w:type="page"/>
      </w:r>
    </w:p>
    <w:p w:rsidR="0028598A" w:rsidRPr="00C96F1A" w:rsidRDefault="0028598A" w:rsidP="00C96F1A">
      <w:pPr>
        <w:rPr>
          <w:rFonts w:ascii="Arial" w:hAnsi="Arial" w:cs="Arial"/>
        </w:rPr>
        <w:sectPr w:rsidR="0028598A" w:rsidRPr="00C96F1A" w:rsidSect="00C96F1A">
          <w:footerReference w:type="even" r:id="rId24"/>
          <w:footerReference w:type="default" r:id="rId25"/>
          <w:type w:val="continuous"/>
          <w:pgSz w:w="11910" w:h="16840"/>
          <w:pgMar w:top="1440" w:right="1080" w:bottom="1440" w:left="1080" w:header="720" w:footer="720" w:gutter="0"/>
          <w:cols w:space="720"/>
        </w:sectPr>
      </w:pPr>
    </w:p>
    <w:p w:rsidR="0028598A" w:rsidRPr="00C96F1A" w:rsidRDefault="00B625AF" w:rsidP="00153047">
      <w:pPr>
        <w:pStyle w:val="Heading2"/>
      </w:pPr>
      <w:bookmarkStart w:id="45" w:name="_TOC_250016"/>
      <w:bookmarkStart w:id="46" w:name="_Toc528845970"/>
      <w:bookmarkEnd w:id="45"/>
      <w:r w:rsidRPr="00C96F1A">
        <w:lastRenderedPageBreak/>
        <w:t>QFleet</w:t>
      </w:r>
      <w:bookmarkEnd w:id="46"/>
    </w:p>
    <w:p w:rsidR="0028598A" w:rsidRPr="00C96F1A" w:rsidRDefault="00B625AF" w:rsidP="00153047">
      <w:pPr>
        <w:pStyle w:val="Heading3"/>
      </w:pPr>
      <w:r w:rsidRPr="00C96F1A">
        <w:t>Our objective</w:t>
      </w:r>
    </w:p>
    <w:p w:rsidR="0028598A" w:rsidRPr="00C96F1A" w:rsidRDefault="00B625AF" w:rsidP="00C96F1A">
      <w:pPr>
        <w:rPr>
          <w:rFonts w:ascii="Arial" w:hAnsi="Arial" w:cs="Arial"/>
        </w:rPr>
      </w:pPr>
      <w:r w:rsidRPr="00C96F1A">
        <w:rPr>
          <w:rFonts w:ascii="Arial" w:hAnsi="Arial" w:cs="Arial"/>
        </w:rPr>
        <w:t>To deliver benefits to the government through aggregated procurement of vehicles and associated services and the provision of a central pool of expertise in fleet management.</w:t>
      </w:r>
    </w:p>
    <w:p w:rsidR="0028598A" w:rsidRPr="00C96F1A" w:rsidRDefault="00B625AF" w:rsidP="00153047">
      <w:pPr>
        <w:pStyle w:val="Heading3"/>
      </w:pPr>
      <w:r w:rsidRPr="00C96F1A">
        <w:t>What we do</w:t>
      </w:r>
    </w:p>
    <w:p w:rsidR="0028598A" w:rsidRPr="00C96F1A" w:rsidRDefault="00B625AF" w:rsidP="00C96F1A">
      <w:pPr>
        <w:rPr>
          <w:rFonts w:ascii="Arial" w:hAnsi="Arial" w:cs="Arial"/>
        </w:rPr>
      </w:pPr>
      <w:r w:rsidRPr="00C96F1A">
        <w:rPr>
          <w:rFonts w:ascii="Arial" w:hAnsi="Arial" w:cs="Arial"/>
        </w:rPr>
        <w:t>QFleet is responsible for whole-of-government fleet policy development and implementation. Services include vehicle procurement and contract management, fleet advisory services to public sector departments, as well as government-funded organisations, in-service maintenance, accident management, and end-of-life repairs and vehicle remarketing. This supports government agencies to meet their service delivery outcomes for the community.</w:t>
      </w:r>
    </w:p>
    <w:p w:rsidR="0028598A" w:rsidRPr="00C96F1A" w:rsidRDefault="00B625AF" w:rsidP="004F4649">
      <w:pPr>
        <w:pStyle w:val="Heading3"/>
      </w:pPr>
      <w:r w:rsidRPr="00C96F1A">
        <w:t>Our achievements</w:t>
      </w:r>
    </w:p>
    <w:p w:rsidR="0028598A" w:rsidRPr="00C96F1A" w:rsidRDefault="00B625AF" w:rsidP="004F4649">
      <w:pPr>
        <w:pStyle w:val="Heading6"/>
      </w:pPr>
      <w:r w:rsidRPr="00C96F1A">
        <w:t>Environmentally sustainable solutions</w:t>
      </w:r>
    </w:p>
    <w:p w:rsidR="004F4649" w:rsidRPr="004F4649" w:rsidRDefault="004F4649" w:rsidP="004F4649">
      <w:r w:rsidRPr="004F4649">
        <w:t xml:space="preserve">During the year, we released the </w:t>
      </w:r>
      <w:r w:rsidRPr="004F4649">
        <w:rPr>
          <w:i/>
        </w:rPr>
        <w:t>QFleet Electric Vehicle Transition Strategy for the Queensland Government motor vehicle fleet</w:t>
      </w:r>
      <w:r w:rsidRPr="004F4649">
        <w:t xml:space="preserve"> and the </w:t>
      </w:r>
      <w:r w:rsidRPr="004F4649">
        <w:rPr>
          <w:i/>
        </w:rPr>
        <w:t>QFleet Environmental Strategy for the Queensland Government motor vehicle fleet</w:t>
      </w:r>
      <w:r w:rsidRPr="004F4649">
        <w:t xml:space="preserve">. </w:t>
      </w:r>
    </w:p>
    <w:p w:rsidR="004F4649" w:rsidRPr="004F4649" w:rsidRDefault="004F4649" w:rsidP="004F4649">
      <w:r w:rsidRPr="004F4649">
        <w:t xml:space="preserve">These strategies outline our approach to proactively developing an environmentally sustainable fleet and reducing emissions in the government’s fleet of more than 10,000 passenger and light commercial vehicles. </w:t>
      </w:r>
    </w:p>
    <w:p w:rsidR="004F4649" w:rsidRPr="004F4649" w:rsidRDefault="004F4649" w:rsidP="004F4649">
      <w:r w:rsidRPr="004F4649">
        <w:t xml:space="preserve">We continued to develop innovative solutions throughout the year, to deliver on our environmental sustainability commitment. </w:t>
      </w:r>
    </w:p>
    <w:p w:rsidR="004F4649" w:rsidRPr="004F4649" w:rsidRDefault="004F4649" w:rsidP="004F4649">
      <w:r w:rsidRPr="004F4649">
        <w:t xml:space="preserve">In 2017–18, we: </w:t>
      </w:r>
    </w:p>
    <w:p w:rsidR="004F4649" w:rsidRPr="004F4649" w:rsidRDefault="004F4649" w:rsidP="00D806AE">
      <w:pPr>
        <w:pStyle w:val="ListParagraph"/>
        <w:numPr>
          <w:ilvl w:val="0"/>
          <w:numId w:val="100"/>
        </w:numPr>
      </w:pPr>
      <w:r w:rsidRPr="004F4649">
        <w:t xml:space="preserve">purchased Australian Carbon Credit Units to offset QFleet’s 2016–17 motor vehicle greenhouse gas emissions through the Aboriginal Carbon Fund Pty. Ltd. which was delivered through three savannah burning projects led by traditional owners in Kowanyama, Aurukun and Pormpuraaw </w:t>
      </w:r>
    </w:p>
    <w:p w:rsidR="004F4649" w:rsidRPr="004F4649" w:rsidRDefault="004F4649" w:rsidP="00D806AE">
      <w:pPr>
        <w:pStyle w:val="ListParagraph"/>
        <w:numPr>
          <w:ilvl w:val="0"/>
          <w:numId w:val="100"/>
        </w:numPr>
      </w:pPr>
      <w:r w:rsidRPr="004F4649">
        <w:t xml:space="preserve">partnered with the Department of Environment and Science to develop and implement strategies to offset the Queensland Government motor vehicle fleet’s 2017–19 greenhouse gas emissions. </w:t>
      </w:r>
    </w:p>
    <w:p w:rsidR="0028598A" w:rsidRPr="00C96F1A" w:rsidRDefault="00B625AF" w:rsidP="004F4649">
      <w:pPr>
        <w:pStyle w:val="Heading6"/>
      </w:pPr>
      <w:r w:rsidRPr="00C96F1A">
        <w:t>Delivering value through efficiencies</w:t>
      </w:r>
    </w:p>
    <w:p w:rsidR="004F4649" w:rsidRPr="004F4649" w:rsidRDefault="004F4649" w:rsidP="004F4649">
      <w:r w:rsidRPr="004F4649">
        <w:t xml:space="preserve">We continued to seek greater value and support for employment and economic opportunities throughout the year, through efficient use of resources. </w:t>
      </w:r>
    </w:p>
    <w:p w:rsidR="004F4649" w:rsidRPr="004F4649" w:rsidRDefault="004F4649" w:rsidP="004F4649">
      <w:r w:rsidRPr="004F4649">
        <w:t xml:space="preserve">In 2017–18, we: </w:t>
      </w:r>
    </w:p>
    <w:p w:rsidR="004F4649" w:rsidRPr="004F4649" w:rsidRDefault="004F4649" w:rsidP="00D806AE">
      <w:pPr>
        <w:pStyle w:val="ListParagraph"/>
        <w:numPr>
          <w:ilvl w:val="0"/>
          <w:numId w:val="101"/>
        </w:numPr>
      </w:pPr>
      <w:r w:rsidRPr="004F4649">
        <w:t xml:space="preserve">implemented the Standing Offer Arrangement for tyres and associated services, including a mandated membership to Tyre Stewardship Australia which helps reduce the amount of end-of-life tyres damaging the environment via landfill, illegal dumping or undesirable export while increasing the recycling rate of end-of-life tyres </w:t>
      </w:r>
    </w:p>
    <w:p w:rsidR="004F4649" w:rsidRPr="004F4649" w:rsidRDefault="004F4649" w:rsidP="00D806AE">
      <w:pPr>
        <w:pStyle w:val="ListParagraph"/>
        <w:numPr>
          <w:ilvl w:val="0"/>
          <w:numId w:val="101"/>
        </w:numPr>
      </w:pPr>
      <w:r w:rsidRPr="004F4649">
        <w:t xml:space="preserve">implemented the pilot Brisbane CBD car sharing model and undertook a desktop feasibility study of car sharing in regional locations to improve vehicle use and lower overall fleet operational costs </w:t>
      </w:r>
    </w:p>
    <w:p w:rsidR="004F4649" w:rsidRDefault="004F4649" w:rsidP="00D806AE">
      <w:pPr>
        <w:pStyle w:val="ListParagraph"/>
        <w:numPr>
          <w:ilvl w:val="0"/>
          <w:numId w:val="101"/>
        </w:numPr>
      </w:pPr>
      <w:r w:rsidRPr="004F4649">
        <w:t>implemented the aggregated motor vehicle procurement program for 2017–18 following negotiations with vehicle manufacturers to deliver improved value for money in government vehicle procurement.</w:t>
      </w:r>
    </w:p>
    <w:p w:rsidR="004F4649" w:rsidRPr="004F4649" w:rsidRDefault="004F4649" w:rsidP="004F4649">
      <w:pPr>
        <w:pStyle w:val="Heading3"/>
        <w:rPr>
          <w:lang w:val="en-AU"/>
        </w:rPr>
      </w:pPr>
      <w:r w:rsidRPr="004F4649">
        <w:rPr>
          <w:lang w:val="en-AU"/>
        </w:rPr>
        <w:lastRenderedPageBreak/>
        <w:t xml:space="preserve">Our future focus </w:t>
      </w:r>
    </w:p>
    <w:p w:rsidR="004F4649" w:rsidRPr="004F4649" w:rsidRDefault="004F4649" w:rsidP="004F4649">
      <w:r w:rsidRPr="004F4649">
        <w:t xml:space="preserve">In 2018–19, the department will continue to deliver responsive fleet initiatives that will make a difference to Queenslanders by: </w:t>
      </w:r>
    </w:p>
    <w:p w:rsidR="004F4649" w:rsidRPr="004F4649" w:rsidRDefault="004F4649" w:rsidP="00D806AE">
      <w:pPr>
        <w:pStyle w:val="ListParagraph"/>
        <w:numPr>
          <w:ilvl w:val="0"/>
          <w:numId w:val="102"/>
        </w:numPr>
      </w:pPr>
      <w:r w:rsidRPr="004F4649">
        <w:t xml:space="preserve">implementing the car sharing model to applicable Queensland Government departments in the Brisbane CBD and in one regional location </w:t>
      </w:r>
    </w:p>
    <w:p w:rsidR="004F4649" w:rsidRPr="004F4649" w:rsidRDefault="004F4649" w:rsidP="00D806AE">
      <w:pPr>
        <w:pStyle w:val="ListParagraph"/>
        <w:numPr>
          <w:ilvl w:val="0"/>
          <w:numId w:val="102"/>
        </w:numPr>
      </w:pPr>
      <w:r w:rsidRPr="004F4649">
        <w:t xml:space="preserve">purchasing a software-as-a-solution fleet management system, and commencing implementation in partnership with the Public Safety Business Agency and the Queensland Ambulance Service </w:t>
      </w:r>
    </w:p>
    <w:p w:rsidR="004F4649" w:rsidRPr="004F4649" w:rsidRDefault="004F4649" w:rsidP="00D806AE">
      <w:pPr>
        <w:pStyle w:val="ListParagraph"/>
        <w:numPr>
          <w:ilvl w:val="0"/>
          <w:numId w:val="102"/>
        </w:numPr>
      </w:pPr>
      <w:r w:rsidRPr="004F4649">
        <w:t xml:space="preserve">implementing the </w:t>
      </w:r>
      <w:r w:rsidRPr="009B2AB5">
        <w:rPr>
          <w:i/>
        </w:rPr>
        <w:t>QFleet Environmental Strategy</w:t>
      </w:r>
      <w:r w:rsidRPr="004F4649">
        <w:t xml:space="preserve"> and </w:t>
      </w:r>
      <w:r w:rsidRPr="009B2AB5">
        <w:rPr>
          <w:i/>
        </w:rPr>
        <w:t>QFleet Electric Vehicle Transition Strategy</w:t>
      </w:r>
      <w:r w:rsidRPr="004F4649">
        <w:t xml:space="preserve"> and continuing to improve the environmental profile of motor vehicles available to government departments to deliver frontline services to Queenslanders </w:t>
      </w:r>
    </w:p>
    <w:p w:rsidR="004F4649" w:rsidRPr="004F4649" w:rsidRDefault="004F4649" w:rsidP="00D806AE">
      <w:pPr>
        <w:pStyle w:val="ListParagraph"/>
        <w:numPr>
          <w:ilvl w:val="0"/>
          <w:numId w:val="102"/>
        </w:numPr>
      </w:pPr>
      <w:r w:rsidRPr="004F4649">
        <w:t>awarding a new Standing Offer Arrangement for the provision of motor vehicle disposal and remarketing services for the Queensland Government fleet.</w:t>
      </w:r>
    </w:p>
    <w:p w:rsidR="009B2AB5" w:rsidRDefault="009B2AB5" w:rsidP="009B2AB5">
      <w:pPr>
        <w:pStyle w:val="Heading3"/>
      </w:pPr>
      <w:r w:rsidRPr="009B2AB5">
        <w:t>Service Standards</w:t>
      </w:r>
    </w:p>
    <w:tbl>
      <w:tblPr>
        <w:tblW w:w="9883" w:type="dxa"/>
        <w:tblInd w:w="-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1E0" w:firstRow="1" w:lastRow="1" w:firstColumn="1" w:lastColumn="1" w:noHBand="0" w:noVBand="0"/>
      </w:tblPr>
      <w:tblGrid>
        <w:gridCol w:w="7377"/>
        <w:gridCol w:w="1246"/>
        <w:gridCol w:w="1260"/>
      </w:tblGrid>
      <w:tr w:rsidR="009B2AB5" w:rsidRPr="002C4058" w:rsidTr="00D32A5E">
        <w:trPr>
          <w:tblHeader/>
        </w:trPr>
        <w:tc>
          <w:tcPr>
            <w:tcW w:w="7377" w:type="dxa"/>
            <w:shd w:val="clear" w:color="auto" w:fill="000000" w:themeFill="text1"/>
            <w:vAlign w:val="center"/>
            <w:hideMark/>
          </w:tcPr>
          <w:p w:rsidR="009B2AB5" w:rsidRPr="002C4058" w:rsidRDefault="009B2AB5" w:rsidP="00D32A5E">
            <w:pPr>
              <w:pStyle w:val="TableTextHeading"/>
              <w:jc w:val="left"/>
              <w:rPr>
                <w:color w:val="FFFFFF" w:themeColor="background1"/>
              </w:rPr>
            </w:pPr>
            <w:r w:rsidRPr="11284B68">
              <w:rPr>
                <w:color w:val="FFFFFF" w:themeColor="background1"/>
              </w:rPr>
              <w:t>QFleet</w:t>
            </w:r>
          </w:p>
        </w:tc>
        <w:tc>
          <w:tcPr>
            <w:tcW w:w="1246" w:type="dxa"/>
            <w:shd w:val="clear" w:color="auto" w:fill="000000" w:themeFill="text1"/>
            <w:vAlign w:val="center"/>
            <w:hideMark/>
          </w:tcPr>
          <w:p w:rsidR="009B2AB5" w:rsidRPr="002C4058" w:rsidRDefault="009B2AB5" w:rsidP="00D32A5E">
            <w:pPr>
              <w:pStyle w:val="TableTextHeading"/>
              <w:rPr>
                <w:color w:val="FFFFFF" w:themeColor="background1"/>
              </w:rPr>
            </w:pPr>
            <w:r>
              <w:rPr>
                <w:color w:val="FFFFFF" w:themeColor="background1"/>
              </w:rPr>
              <w:t>2017–18</w:t>
            </w:r>
          </w:p>
          <w:p w:rsidR="009B2AB5" w:rsidRPr="002C4058" w:rsidRDefault="009B2AB5" w:rsidP="00D32A5E">
            <w:pPr>
              <w:pStyle w:val="TableTextHeading"/>
              <w:rPr>
                <w:color w:val="FFFFFF" w:themeColor="background1"/>
              </w:rPr>
            </w:pPr>
            <w:r w:rsidRPr="11284B68">
              <w:rPr>
                <w:color w:val="FFFFFF" w:themeColor="background1"/>
              </w:rPr>
              <w:t>Target/Est.</w:t>
            </w:r>
          </w:p>
        </w:tc>
        <w:tc>
          <w:tcPr>
            <w:tcW w:w="1260" w:type="dxa"/>
            <w:shd w:val="clear" w:color="auto" w:fill="000000" w:themeFill="text1"/>
            <w:vAlign w:val="center"/>
            <w:hideMark/>
          </w:tcPr>
          <w:p w:rsidR="009B2AB5" w:rsidRPr="002C4058" w:rsidRDefault="009B2AB5" w:rsidP="00D32A5E">
            <w:pPr>
              <w:pStyle w:val="TableTextHeading"/>
              <w:rPr>
                <w:color w:val="FFFFFF" w:themeColor="background1"/>
              </w:rPr>
            </w:pPr>
            <w:r>
              <w:rPr>
                <w:color w:val="FFFFFF" w:themeColor="background1"/>
              </w:rPr>
              <w:t>2017–18</w:t>
            </w:r>
          </w:p>
          <w:p w:rsidR="009B2AB5" w:rsidRPr="002C4058" w:rsidRDefault="009B2AB5" w:rsidP="00D32A5E">
            <w:pPr>
              <w:pStyle w:val="TableTextHeading"/>
              <w:rPr>
                <w:color w:val="FFFFFF" w:themeColor="background1"/>
              </w:rPr>
            </w:pPr>
            <w:r w:rsidRPr="11284B68">
              <w:rPr>
                <w:color w:val="FFFFFF" w:themeColor="background1"/>
              </w:rPr>
              <w:t>Actual</w:t>
            </w:r>
          </w:p>
        </w:tc>
      </w:tr>
      <w:tr w:rsidR="009B2AB5" w:rsidRPr="00DE340B" w:rsidTr="00D32A5E">
        <w:tc>
          <w:tcPr>
            <w:tcW w:w="7377" w:type="dxa"/>
            <w:shd w:val="clear" w:color="auto" w:fill="D9D9D9" w:themeFill="background1" w:themeFillShade="D9"/>
            <w:vAlign w:val="bottom"/>
          </w:tcPr>
          <w:p w:rsidR="009B2AB5" w:rsidRPr="00A97AE6" w:rsidRDefault="009B2AB5" w:rsidP="00D32A5E">
            <w:pPr>
              <w:pStyle w:val="TableTextItalics"/>
              <w:rPr>
                <w:b/>
                <w:bCs/>
              </w:rPr>
            </w:pPr>
            <w:r w:rsidRPr="001A70A7">
              <w:rPr>
                <w:b/>
                <w:bCs/>
              </w:rPr>
              <w:t>Effectiveness measures</w:t>
            </w:r>
          </w:p>
        </w:tc>
        <w:tc>
          <w:tcPr>
            <w:tcW w:w="1246" w:type="dxa"/>
            <w:shd w:val="clear" w:color="auto" w:fill="D9D9D9" w:themeFill="background1" w:themeFillShade="D9"/>
            <w:vAlign w:val="bottom"/>
          </w:tcPr>
          <w:p w:rsidR="009B2AB5" w:rsidRPr="00DE340B" w:rsidRDefault="009B2AB5" w:rsidP="00D32A5E">
            <w:pPr>
              <w:pStyle w:val="TableTextRight"/>
              <w:rPr>
                <w:b/>
              </w:rPr>
            </w:pPr>
          </w:p>
        </w:tc>
        <w:tc>
          <w:tcPr>
            <w:tcW w:w="1260" w:type="dxa"/>
            <w:shd w:val="clear" w:color="auto" w:fill="D9D9D9" w:themeFill="background1" w:themeFillShade="D9"/>
            <w:vAlign w:val="bottom"/>
          </w:tcPr>
          <w:p w:rsidR="009B2AB5" w:rsidRPr="00DE340B" w:rsidRDefault="009B2AB5" w:rsidP="00D32A5E">
            <w:pPr>
              <w:pStyle w:val="TableTextRight"/>
              <w:rPr>
                <w:b/>
              </w:rPr>
            </w:pPr>
          </w:p>
        </w:tc>
      </w:tr>
      <w:tr w:rsidR="009B2AB5" w:rsidRPr="00246DD9" w:rsidTr="00D32A5E">
        <w:tc>
          <w:tcPr>
            <w:tcW w:w="7377" w:type="dxa"/>
            <w:tcBorders>
              <w:bottom w:val="nil"/>
            </w:tcBorders>
            <w:vAlign w:val="bottom"/>
            <w:hideMark/>
          </w:tcPr>
          <w:p w:rsidR="009B2AB5" w:rsidRPr="006C320B" w:rsidRDefault="009B2AB5" w:rsidP="00D32A5E">
            <w:pPr>
              <w:pStyle w:val="TableText"/>
            </w:pPr>
            <w:r w:rsidRPr="006C320B">
              <w:t>Overall customer satisfaction</w:t>
            </w:r>
          </w:p>
        </w:tc>
        <w:tc>
          <w:tcPr>
            <w:tcW w:w="1246" w:type="dxa"/>
            <w:tcBorders>
              <w:bottom w:val="nil"/>
            </w:tcBorders>
            <w:vAlign w:val="bottom"/>
          </w:tcPr>
          <w:p w:rsidR="009B2AB5" w:rsidRPr="006C320B" w:rsidRDefault="009B2AB5" w:rsidP="00D32A5E">
            <w:pPr>
              <w:pStyle w:val="TableTextRight"/>
            </w:pPr>
            <w:r>
              <w:t>85%</w:t>
            </w:r>
          </w:p>
        </w:tc>
        <w:tc>
          <w:tcPr>
            <w:tcW w:w="1260" w:type="dxa"/>
            <w:tcBorders>
              <w:bottom w:val="nil"/>
            </w:tcBorders>
            <w:vAlign w:val="bottom"/>
          </w:tcPr>
          <w:p w:rsidR="009B2AB5" w:rsidRPr="006C320B" w:rsidRDefault="009B2AB5" w:rsidP="00D32A5E">
            <w:pPr>
              <w:pStyle w:val="TableTextRight"/>
            </w:pPr>
            <w:r>
              <w:t>85%</w:t>
            </w:r>
          </w:p>
        </w:tc>
      </w:tr>
      <w:tr w:rsidR="009B2AB5" w:rsidRPr="00246DD9" w:rsidTr="00D32A5E">
        <w:tc>
          <w:tcPr>
            <w:tcW w:w="7377" w:type="dxa"/>
            <w:tcBorders>
              <w:top w:val="nil"/>
            </w:tcBorders>
            <w:vAlign w:val="bottom"/>
          </w:tcPr>
          <w:p w:rsidR="009B2AB5" w:rsidRPr="00371863" w:rsidRDefault="009B2AB5" w:rsidP="00D32A5E">
            <w:pPr>
              <w:pStyle w:val="NoteIndent"/>
              <w:numPr>
                <w:ilvl w:val="0"/>
                <w:numId w:val="0"/>
              </w:numPr>
              <w:rPr>
                <w:rFonts w:ascii="Arial Narrow" w:eastAsia="Arial Narrow" w:hAnsi="Arial Narrow" w:cs="Arial Narrow"/>
                <w:i/>
              </w:rPr>
            </w:pPr>
            <w:r w:rsidRPr="1FB55C6F">
              <w:rPr>
                <w:rFonts w:ascii="Arial Narrow" w:eastAsia="Arial Narrow" w:hAnsi="Arial Narrow" w:cs="Arial Narrow"/>
                <w:i/>
                <w:iCs/>
              </w:rPr>
              <w:t>This is a biennial survey with the next survey to be undertaken in 2019</w:t>
            </w:r>
            <w:r w:rsidRPr="599807E0">
              <w:rPr>
                <w:rFonts w:ascii="Arial Narrow" w:eastAsia="Arial Narrow" w:hAnsi="Arial Narrow" w:cs="Arial Narrow"/>
                <w:i/>
                <w:iCs/>
              </w:rPr>
              <w:t>–</w:t>
            </w:r>
            <w:r w:rsidRPr="1FB55C6F">
              <w:rPr>
                <w:rFonts w:ascii="Arial Narrow" w:eastAsia="Arial Narrow" w:hAnsi="Arial Narrow" w:cs="Arial Narrow"/>
                <w:i/>
                <w:iCs/>
              </w:rPr>
              <w:t xml:space="preserve">20. </w:t>
            </w:r>
          </w:p>
        </w:tc>
        <w:tc>
          <w:tcPr>
            <w:tcW w:w="1246" w:type="dxa"/>
            <w:tcBorders>
              <w:top w:val="nil"/>
            </w:tcBorders>
            <w:vAlign w:val="bottom"/>
          </w:tcPr>
          <w:p w:rsidR="009B2AB5" w:rsidRPr="006C320B" w:rsidRDefault="009B2AB5" w:rsidP="00D32A5E">
            <w:pPr>
              <w:pStyle w:val="TableTextRight"/>
            </w:pPr>
          </w:p>
        </w:tc>
        <w:tc>
          <w:tcPr>
            <w:tcW w:w="1260" w:type="dxa"/>
            <w:tcBorders>
              <w:top w:val="nil"/>
            </w:tcBorders>
            <w:vAlign w:val="bottom"/>
          </w:tcPr>
          <w:p w:rsidR="009B2AB5" w:rsidRDefault="009B2AB5" w:rsidP="00D32A5E">
            <w:pPr>
              <w:pStyle w:val="TableTextRight"/>
            </w:pPr>
          </w:p>
        </w:tc>
      </w:tr>
      <w:tr w:rsidR="009B2AB5" w:rsidRPr="002C4058" w:rsidTr="00D32A5E">
        <w:tc>
          <w:tcPr>
            <w:tcW w:w="7377" w:type="dxa"/>
            <w:shd w:val="clear" w:color="auto" w:fill="D9D9D9" w:themeFill="background1" w:themeFillShade="D9"/>
            <w:vAlign w:val="bottom"/>
          </w:tcPr>
          <w:p w:rsidR="009B2AB5" w:rsidRPr="00A97AE6" w:rsidRDefault="009B2AB5" w:rsidP="00D32A5E">
            <w:pPr>
              <w:pStyle w:val="TableTextItalics"/>
              <w:rPr>
                <w:b/>
                <w:bCs/>
              </w:rPr>
            </w:pPr>
            <w:r w:rsidRPr="001A70A7">
              <w:rPr>
                <w:b/>
                <w:bCs/>
              </w:rPr>
              <w:t>Efficiency measures</w:t>
            </w:r>
          </w:p>
        </w:tc>
        <w:tc>
          <w:tcPr>
            <w:tcW w:w="1246" w:type="dxa"/>
            <w:shd w:val="clear" w:color="auto" w:fill="D9D9D9" w:themeFill="background1" w:themeFillShade="D9"/>
            <w:vAlign w:val="bottom"/>
          </w:tcPr>
          <w:p w:rsidR="009B2AB5" w:rsidRPr="002C4058" w:rsidRDefault="009B2AB5" w:rsidP="00D32A5E">
            <w:pPr>
              <w:pStyle w:val="TableTextRight"/>
              <w:rPr>
                <w:b/>
              </w:rPr>
            </w:pPr>
          </w:p>
        </w:tc>
        <w:tc>
          <w:tcPr>
            <w:tcW w:w="1260" w:type="dxa"/>
            <w:shd w:val="clear" w:color="auto" w:fill="D9D9D9" w:themeFill="background1" w:themeFillShade="D9"/>
            <w:vAlign w:val="bottom"/>
          </w:tcPr>
          <w:p w:rsidR="009B2AB5" w:rsidRPr="002C4058" w:rsidRDefault="009B2AB5" w:rsidP="00D32A5E">
            <w:pPr>
              <w:pStyle w:val="TableTextRight"/>
              <w:rPr>
                <w:b/>
              </w:rPr>
            </w:pPr>
          </w:p>
        </w:tc>
      </w:tr>
      <w:tr w:rsidR="009B2AB5" w:rsidRPr="00246DD9" w:rsidTr="00D32A5E">
        <w:tc>
          <w:tcPr>
            <w:tcW w:w="7377" w:type="dxa"/>
            <w:tcBorders>
              <w:bottom w:val="nil"/>
            </w:tcBorders>
            <w:vAlign w:val="bottom"/>
            <w:hideMark/>
          </w:tcPr>
          <w:p w:rsidR="009B2AB5" w:rsidRPr="006C320B" w:rsidRDefault="009B2AB5" w:rsidP="00D32A5E">
            <w:pPr>
              <w:pStyle w:val="TableText"/>
            </w:pPr>
            <w:r w:rsidRPr="00F8557C">
              <w:t>Current ratio</w:t>
            </w:r>
          </w:p>
        </w:tc>
        <w:tc>
          <w:tcPr>
            <w:tcW w:w="1246" w:type="dxa"/>
            <w:tcBorders>
              <w:bottom w:val="nil"/>
            </w:tcBorders>
            <w:vAlign w:val="bottom"/>
          </w:tcPr>
          <w:p w:rsidR="009B2AB5" w:rsidRPr="006C320B" w:rsidRDefault="009B2AB5" w:rsidP="00D32A5E">
            <w:pPr>
              <w:pStyle w:val="TableTextRight"/>
            </w:pPr>
            <w:r>
              <w:t>3.2:1</w:t>
            </w:r>
          </w:p>
        </w:tc>
        <w:tc>
          <w:tcPr>
            <w:tcW w:w="1260" w:type="dxa"/>
            <w:tcBorders>
              <w:bottom w:val="nil"/>
            </w:tcBorders>
            <w:vAlign w:val="bottom"/>
          </w:tcPr>
          <w:p w:rsidR="009B2AB5" w:rsidRPr="00C80650" w:rsidRDefault="009B2AB5" w:rsidP="00C80650">
            <w:pPr>
              <w:pStyle w:val="TableTextRight"/>
            </w:pPr>
            <w:r w:rsidRPr="00C80650">
              <w:t xml:space="preserve">2.04:1 </w:t>
            </w:r>
          </w:p>
        </w:tc>
      </w:tr>
      <w:tr w:rsidR="009B2AB5" w:rsidRPr="00AE6204" w:rsidTr="00D32A5E">
        <w:tc>
          <w:tcPr>
            <w:tcW w:w="7377" w:type="dxa"/>
            <w:tcBorders>
              <w:top w:val="nil"/>
            </w:tcBorders>
          </w:tcPr>
          <w:p w:rsidR="009B2AB5" w:rsidRPr="004A554E" w:rsidRDefault="009B2AB5" w:rsidP="004A554E">
            <w:pPr>
              <w:pStyle w:val="NoteIndent"/>
              <w:numPr>
                <w:ilvl w:val="0"/>
                <w:numId w:val="0"/>
              </w:numPr>
              <w:rPr>
                <w:rFonts w:ascii="Arial Narrow" w:eastAsia="Arial Narrow" w:hAnsi="Arial Narrow" w:cs="Arial Narrow"/>
                <w:i/>
                <w:iCs/>
              </w:rPr>
            </w:pPr>
            <w:r w:rsidRPr="004A554E">
              <w:rPr>
                <w:rFonts w:ascii="Arial Narrow" w:eastAsia="Arial Narrow" w:hAnsi="Arial Narrow" w:cs="Arial Narrow"/>
                <w:i/>
                <w:iCs/>
              </w:rPr>
              <w:t xml:space="preserve">Variance between the 2017–18 Target/Estimate and 2017–18 Actual is mainly due to a higher than budgeted operating surplus which increases the provisions for tax and dividends in current liabilities. </w:t>
            </w:r>
          </w:p>
        </w:tc>
        <w:tc>
          <w:tcPr>
            <w:tcW w:w="1246" w:type="dxa"/>
            <w:tcBorders>
              <w:top w:val="nil"/>
            </w:tcBorders>
            <w:vAlign w:val="bottom"/>
          </w:tcPr>
          <w:p w:rsidR="009B2AB5" w:rsidRPr="00AE6204" w:rsidRDefault="009B2AB5" w:rsidP="00D32A5E">
            <w:pPr>
              <w:pStyle w:val="TableText"/>
              <w:rPr>
                <w:rFonts w:ascii="Arial Narrow" w:hAnsi="Arial Narrow"/>
                <w:i/>
                <w:sz w:val="14"/>
                <w:szCs w:val="14"/>
              </w:rPr>
            </w:pPr>
          </w:p>
        </w:tc>
        <w:tc>
          <w:tcPr>
            <w:tcW w:w="1260" w:type="dxa"/>
            <w:tcBorders>
              <w:top w:val="nil"/>
            </w:tcBorders>
            <w:vAlign w:val="bottom"/>
          </w:tcPr>
          <w:p w:rsidR="009B2AB5" w:rsidRPr="00AE6204" w:rsidRDefault="009B2AB5" w:rsidP="00D32A5E">
            <w:pPr>
              <w:pStyle w:val="TableText"/>
              <w:rPr>
                <w:rFonts w:ascii="Arial Narrow" w:hAnsi="Arial Narrow"/>
                <w:i/>
                <w:sz w:val="14"/>
                <w:szCs w:val="14"/>
              </w:rPr>
            </w:pPr>
          </w:p>
        </w:tc>
      </w:tr>
      <w:tr w:rsidR="009B2AB5" w:rsidRPr="00246DD9" w:rsidTr="00D32A5E">
        <w:tc>
          <w:tcPr>
            <w:tcW w:w="7377" w:type="dxa"/>
            <w:tcBorders>
              <w:bottom w:val="nil"/>
            </w:tcBorders>
            <w:hideMark/>
          </w:tcPr>
          <w:p w:rsidR="009B2AB5" w:rsidRPr="006C320B" w:rsidRDefault="009B2AB5" w:rsidP="00D32A5E">
            <w:pPr>
              <w:pStyle w:val="TableText"/>
            </w:pPr>
            <w:r w:rsidRPr="00F8557C">
              <w:t>Return on net assets</w:t>
            </w:r>
          </w:p>
        </w:tc>
        <w:tc>
          <w:tcPr>
            <w:tcW w:w="1246" w:type="dxa"/>
            <w:tcBorders>
              <w:bottom w:val="nil"/>
            </w:tcBorders>
            <w:vAlign w:val="bottom"/>
          </w:tcPr>
          <w:p w:rsidR="009B2AB5" w:rsidRPr="006C320B" w:rsidRDefault="009B2AB5" w:rsidP="00D32A5E">
            <w:pPr>
              <w:pStyle w:val="TableTextRight"/>
            </w:pPr>
            <w:r>
              <w:t>3.4%</w:t>
            </w:r>
          </w:p>
        </w:tc>
        <w:tc>
          <w:tcPr>
            <w:tcW w:w="1260" w:type="dxa"/>
            <w:tcBorders>
              <w:bottom w:val="nil"/>
            </w:tcBorders>
          </w:tcPr>
          <w:p w:rsidR="009B2AB5" w:rsidRPr="006C320B" w:rsidRDefault="009B2AB5" w:rsidP="00D32A5E">
            <w:pPr>
              <w:pStyle w:val="TableTextRight"/>
            </w:pPr>
            <w:r>
              <w:t>6.9%</w:t>
            </w:r>
          </w:p>
        </w:tc>
      </w:tr>
      <w:tr w:rsidR="009B2AB5" w:rsidRPr="00AE6204" w:rsidTr="00D32A5E">
        <w:tc>
          <w:tcPr>
            <w:tcW w:w="7377" w:type="dxa"/>
            <w:tcBorders>
              <w:top w:val="nil"/>
            </w:tcBorders>
          </w:tcPr>
          <w:p w:rsidR="009B2AB5" w:rsidRPr="004A554E" w:rsidRDefault="009B2AB5" w:rsidP="004A554E">
            <w:pPr>
              <w:pStyle w:val="NoteIndent"/>
              <w:numPr>
                <w:ilvl w:val="0"/>
                <w:numId w:val="0"/>
              </w:numPr>
              <w:rPr>
                <w:rFonts w:ascii="Arial Narrow" w:eastAsia="Arial Narrow" w:hAnsi="Arial Narrow" w:cs="Arial Narrow"/>
                <w:i/>
                <w:iCs/>
              </w:rPr>
            </w:pPr>
            <w:r w:rsidRPr="004A554E">
              <w:rPr>
                <w:rFonts w:ascii="Arial Narrow" w:eastAsia="Arial Narrow" w:hAnsi="Arial Narrow" w:cs="Arial Narrow"/>
                <w:i/>
                <w:iCs/>
              </w:rPr>
              <w:t xml:space="preserve">Variance between the 2017–18 Target/Estimate and 2017–18 Actual is mainly due to a higher operating surplus. </w:t>
            </w:r>
          </w:p>
        </w:tc>
        <w:tc>
          <w:tcPr>
            <w:tcW w:w="1246" w:type="dxa"/>
            <w:tcBorders>
              <w:top w:val="nil"/>
            </w:tcBorders>
            <w:vAlign w:val="bottom"/>
          </w:tcPr>
          <w:p w:rsidR="009B2AB5" w:rsidRPr="00AE6204" w:rsidRDefault="009B2AB5" w:rsidP="00D32A5E">
            <w:pPr>
              <w:pStyle w:val="TableText"/>
              <w:rPr>
                <w:rFonts w:ascii="Arial Narrow" w:hAnsi="Arial Narrow"/>
                <w:i/>
                <w:sz w:val="14"/>
                <w:szCs w:val="14"/>
              </w:rPr>
            </w:pPr>
          </w:p>
        </w:tc>
        <w:tc>
          <w:tcPr>
            <w:tcW w:w="1260" w:type="dxa"/>
            <w:tcBorders>
              <w:top w:val="nil"/>
            </w:tcBorders>
            <w:vAlign w:val="bottom"/>
          </w:tcPr>
          <w:p w:rsidR="009B2AB5" w:rsidRPr="00AE6204" w:rsidRDefault="009B2AB5" w:rsidP="00D32A5E">
            <w:pPr>
              <w:pStyle w:val="TableText"/>
              <w:rPr>
                <w:rFonts w:ascii="Arial Narrow" w:hAnsi="Arial Narrow"/>
                <w:i/>
                <w:sz w:val="14"/>
                <w:szCs w:val="14"/>
              </w:rPr>
            </w:pPr>
          </w:p>
        </w:tc>
      </w:tr>
      <w:tr w:rsidR="009B2AB5" w:rsidRPr="00246DD9" w:rsidTr="00D32A5E">
        <w:tc>
          <w:tcPr>
            <w:tcW w:w="7377" w:type="dxa"/>
            <w:tcBorders>
              <w:bottom w:val="nil"/>
            </w:tcBorders>
          </w:tcPr>
          <w:p w:rsidR="009B2AB5" w:rsidRPr="006C320B" w:rsidRDefault="009B2AB5" w:rsidP="00D32A5E">
            <w:pPr>
              <w:pStyle w:val="TableText"/>
            </w:pPr>
            <w:r w:rsidRPr="00F8557C">
              <w:t>Gearing level</w:t>
            </w:r>
          </w:p>
        </w:tc>
        <w:tc>
          <w:tcPr>
            <w:tcW w:w="1246" w:type="dxa"/>
            <w:tcBorders>
              <w:bottom w:val="nil"/>
            </w:tcBorders>
            <w:vAlign w:val="bottom"/>
          </w:tcPr>
          <w:p w:rsidR="009B2AB5" w:rsidRPr="006C320B" w:rsidRDefault="009B2AB5" w:rsidP="00D32A5E">
            <w:pPr>
              <w:pStyle w:val="TableTextRight"/>
            </w:pPr>
            <w:r>
              <w:t>65%</w:t>
            </w:r>
          </w:p>
        </w:tc>
        <w:tc>
          <w:tcPr>
            <w:tcW w:w="1260" w:type="dxa"/>
            <w:tcBorders>
              <w:bottom w:val="nil"/>
            </w:tcBorders>
          </w:tcPr>
          <w:p w:rsidR="009B2AB5" w:rsidRPr="006C320B" w:rsidRDefault="009B2AB5" w:rsidP="00D32A5E">
            <w:pPr>
              <w:pStyle w:val="TableTextRight"/>
            </w:pPr>
            <w:r>
              <w:t>66%</w:t>
            </w:r>
          </w:p>
        </w:tc>
      </w:tr>
      <w:tr w:rsidR="009B2AB5" w:rsidRPr="00AE6204" w:rsidTr="00D32A5E">
        <w:tc>
          <w:tcPr>
            <w:tcW w:w="7377" w:type="dxa"/>
            <w:tcBorders>
              <w:top w:val="single" w:sz="4" w:space="0" w:color="auto"/>
              <w:bottom w:val="single" w:sz="4" w:space="0" w:color="auto"/>
            </w:tcBorders>
          </w:tcPr>
          <w:p w:rsidR="009B2AB5" w:rsidRPr="00371863" w:rsidRDefault="009B2AB5" w:rsidP="00D32A5E">
            <w:pPr>
              <w:pStyle w:val="NoteIndent"/>
              <w:numPr>
                <w:ilvl w:val="0"/>
                <w:numId w:val="0"/>
              </w:numPr>
              <w:rPr>
                <w:rFonts w:ascii="Arial Narrow" w:eastAsia="Arial Narrow" w:hAnsi="Arial Narrow" w:cs="Arial Narrow"/>
                <w:i/>
              </w:rPr>
            </w:pPr>
            <w:r w:rsidRPr="00F8557C">
              <w:t>Percentage of vehicle fleet u</w:t>
            </w:r>
            <w:r>
              <w:t>se</w:t>
            </w:r>
            <w:r w:rsidRPr="00F8557C">
              <w:t xml:space="preserve"> compared to agreed lease parameters</w:t>
            </w:r>
          </w:p>
        </w:tc>
        <w:tc>
          <w:tcPr>
            <w:tcW w:w="1246" w:type="dxa"/>
            <w:tcBorders>
              <w:top w:val="single" w:sz="4" w:space="0" w:color="auto"/>
              <w:bottom w:val="single" w:sz="4" w:space="0" w:color="auto"/>
            </w:tcBorders>
            <w:vAlign w:val="bottom"/>
          </w:tcPr>
          <w:p w:rsidR="009B2AB5" w:rsidRPr="00371863" w:rsidRDefault="009B2AB5" w:rsidP="00D32A5E">
            <w:pPr>
              <w:pStyle w:val="TableText"/>
              <w:jc w:val="right"/>
              <w:rPr>
                <w:rFonts w:ascii="Arial Narrow" w:eastAsia="Arial Narrow" w:hAnsi="Arial Narrow" w:cs="Arial Narrow"/>
                <w:i/>
                <w:sz w:val="14"/>
                <w:szCs w:val="14"/>
              </w:rPr>
            </w:pPr>
            <w:r>
              <w:t>90%</w:t>
            </w:r>
          </w:p>
        </w:tc>
        <w:tc>
          <w:tcPr>
            <w:tcW w:w="1260" w:type="dxa"/>
            <w:tcBorders>
              <w:top w:val="single" w:sz="4" w:space="0" w:color="auto"/>
              <w:bottom w:val="single" w:sz="4" w:space="0" w:color="auto"/>
            </w:tcBorders>
          </w:tcPr>
          <w:p w:rsidR="009B2AB5" w:rsidRPr="00371863" w:rsidRDefault="004F78ED" w:rsidP="00D32A5E">
            <w:pPr>
              <w:pStyle w:val="TableText"/>
              <w:jc w:val="right"/>
              <w:rPr>
                <w:rFonts w:ascii="Arial Narrow" w:eastAsia="Arial Narrow" w:hAnsi="Arial Narrow" w:cs="Arial Narrow"/>
                <w:i/>
                <w:sz w:val="14"/>
                <w:szCs w:val="14"/>
              </w:rPr>
            </w:pPr>
            <w:r>
              <w:t>87.3</w:t>
            </w:r>
            <w:r w:rsidR="009B2AB5">
              <w:t>%</w:t>
            </w:r>
          </w:p>
        </w:tc>
      </w:tr>
    </w:tbl>
    <w:p w:rsidR="004F4649" w:rsidRPr="004F4649" w:rsidRDefault="004F4649" w:rsidP="004F4649">
      <w:pPr>
        <w:pStyle w:val="ListParagraph"/>
        <w:ind w:left="360"/>
      </w:pPr>
    </w:p>
    <w:p w:rsidR="0028598A" w:rsidRPr="00C96F1A" w:rsidRDefault="0028598A" w:rsidP="00C96F1A">
      <w:pPr>
        <w:rPr>
          <w:rFonts w:ascii="Arial" w:hAnsi="Arial" w:cs="Arial"/>
        </w:rPr>
        <w:sectPr w:rsidR="0028598A" w:rsidRPr="00C96F1A" w:rsidSect="00C96F1A">
          <w:type w:val="continuous"/>
          <w:pgSz w:w="11910" w:h="16840"/>
          <w:pgMar w:top="1440" w:right="1080" w:bottom="1440" w:left="1080" w:header="720" w:footer="720" w:gutter="0"/>
          <w:cols w:space="720"/>
        </w:sectPr>
      </w:pPr>
    </w:p>
    <w:p w:rsidR="0028598A" w:rsidRPr="00C96F1A" w:rsidRDefault="00B625AF" w:rsidP="003700D2">
      <w:pPr>
        <w:pStyle w:val="Heading2"/>
      </w:pPr>
      <w:bookmarkStart w:id="47" w:name="_TOC_250015"/>
      <w:bookmarkStart w:id="48" w:name="_Toc528845971"/>
      <w:r w:rsidRPr="00C96F1A">
        <w:lastRenderedPageBreak/>
        <w:t xml:space="preserve">Queensland Shared </w:t>
      </w:r>
      <w:bookmarkEnd w:id="47"/>
      <w:r w:rsidRPr="00C96F1A">
        <w:t>Services</w:t>
      </w:r>
      <w:bookmarkEnd w:id="48"/>
    </w:p>
    <w:p w:rsidR="0028598A" w:rsidRPr="00C96F1A" w:rsidRDefault="0028598A" w:rsidP="00C96F1A">
      <w:pPr>
        <w:rPr>
          <w:rFonts w:ascii="Arial" w:hAnsi="Arial" w:cs="Arial"/>
        </w:rPr>
        <w:sectPr w:rsidR="0028598A" w:rsidRPr="00C96F1A" w:rsidSect="00C96F1A">
          <w:pgSz w:w="11910" w:h="16840"/>
          <w:pgMar w:top="1440" w:right="1080" w:bottom="1440" w:left="1080" w:header="0" w:footer="500" w:gutter="0"/>
          <w:cols w:space="720"/>
        </w:sectPr>
      </w:pPr>
    </w:p>
    <w:p w:rsidR="0028598A" w:rsidRPr="00C96F1A" w:rsidRDefault="00B625AF" w:rsidP="003700D2">
      <w:pPr>
        <w:pStyle w:val="Heading3"/>
      </w:pPr>
      <w:r w:rsidRPr="00C96F1A">
        <w:t>Our objective</w:t>
      </w:r>
    </w:p>
    <w:p w:rsidR="0028598A" w:rsidRPr="00C96F1A" w:rsidRDefault="00B625AF" w:rsidP="00C96F1A">
      <w:pPr>
        <w:rPr>
          <w:rFonts w:ascii="Arial" w:hAnsi="Arial" w:cs="Arial"/>
        </w:rPr>
      </w:pPr>
      <w:r w:rsidRPr="00C96F1A">
        <w:rPr>
          <w:rFonts w:ascii="Arial" w:hAnsi="Arial" w:cs="Arial"/>
        </w:rPr>
        <w:t>To provide modern corporate services and trusted advice to other government departments and statutory bodies to enable them to meet government policies and objectives.</w:t>
      </w:r>
    </w:p>
    <w:p w:rsidR="0028598A" w:rsidRPr="00C96F1A" w:rsidRDefault="00B625AF" w:rsidP="003700D2">
      <w:pPr>
        <w:pStyle w:val="Heading3"/>
      </w:pPr>
      <w:r w:rsidRPr="00C96F1A">
        <w:t>What we do</w:t>
      </w:r>
    </w:p>
    <w:p w:rsidR="0028598A" w:rsidRPr="00C96F1A" w:rsidRDefault="00B625AF" w:rsidP="00C96F1A">
      <w:pPr>
        <w:rPr>
          <w:rFonts w:ascii="Arial" w:hAnsi="Arial" w:cs="Arial"/>
        </w:rPr>
      </w:pPr>
      <w:r w:rsidRPr="00C96F1A">
        <w:rPr>
          <w:rFonts w:ascii="Arial" w:hAnsi="Arial" w:cs="Arial"/>
        </w:rPr>
        <w:t>Queensland Shared Services facilitates a range of corporate services including finance and human resource (HR) management to government departments and statutory bodies, excluding Queensland Health and the Department of Education and Training.</w:t>
      </w:r>
    </w:p>
    <w:p w:rsidR="0028598A" w:rsidRPr="00C96F1A" w:rsidRDefault="00B625AF" w:rsidP="003700D2">
      <w:pPr>
        <w:pStyle w:val="Heading3"/>
      </w:pPr>
      <w:r w:rsidRPr="00C96F1A">
        <w:t>Our achievements</w:t>
      </w:r>
    </w:p>
    <w:p w:rsidR="0028598A" w:rsidRPr="00C96F1A" w:rsidRDefault="00B625AF" w:rsidP="003700D2">
      <w:pPr>
        <w:pStyle w:val="Heading6"/>
      </w:pPr>
      <w:r w:rsidRPr="00C96F1A">
        <w:t>Delivering services across government</w:t>
      </w:r>
    </w:p>
    <w:p w:rsidR="0028598A" w:rsidRPr="00C96F1A" w:rsidRDefault="00B625AF" w:rsidP="00C96F1A">
      <w:pPr>
        <w:rPr>
          <w:rFonts w:ascii="Arial" w:hAnsi="Arial" w:cs="Arial"/>
        </w:rPr>
      </w:pPr>
      <w:r w:rsidRPr="00C96F1A">
        <w:rPr>
          <w:rFonts w:ascii="Arial" w:hAnsi="Arial" w:cs="Arial"/>
        </w:rPr>
        <w:t>We delivered a range of services and activities throughout the</w:t>
      </w:r>
      <w:r w:rsidR="003700D2">
        <w:rPr>
          <w:rFonts w:ascii="Arial" w:hAnsi="Arial" w:cs="Arial"/>
        </w:rPr>
        <w:t xml:space="preserve"> </w:t>
      </w:r>
      <w:r w:rsidRPr="00C96F1A">
        <w:rPr>
          <w:rFonts w:ascii="Arial" w:hAnsi="Arial" w:cs="Arial"/>
        </w:rPr>
        <w:t>year that contributed to the efficient running of government.</w:t>
      </w:r>
    </w:p>
    <w:p w:rsidR="0028598A" w:rsidRPr="00C96F1A" w:rsidRDefault="00B625AF" w:rsidP="00C96F1A">
      <w:pPr>
        <w:rPr>
          <w:rFonts w:ascii="Arial" w:hAnsi="Arial" w:cs="Arial"/>
        </w:rPr>
      </w:pPr>
      <w:r w:rsidRPr="00C96F1A">
        <w:rPr>
          <w:rFonts w:ascii="Arial" w:hAnsi="Arial" w:cs="Arial"/>
        </w:rPr>
        <w:t>In 2017–18, we:</w:t>
      </w:r>
    </w:p>
    <w:p w:rsidR="003700D2" w:rsidRPr="003700D2" w:rsidRDefault="003700D2" w:rsidP="00D806AE">
      <w:pPr>
        <w:pStyle w:val="ListParagraph"/>
        <w:numPr>
          <w:ilvl w:val="0"/>
          <w:numId w:val="104"/>
        </w:numPr>
        <w:rPr>
          <w:rFonts w:ascii="Arial" w:hAnsi="Arial" w:cs="Arial"/>
        </w:rPr>
      </w:pPr>
      <w:r w:rsidRPr="003700D2">
        <w:rPr>
          <w:rFonts w:ascii="Arial" w:hAnsi="Arial" w:cs="Arial"/>
        </w:rPr>
        <w:t xml:space="preserve">provided high-quality advice, assurance and innovative government-to-government services </w:t>
      </w:r>
    </w:p>
    <w:p w:rsidR="003700D2" w:rsidRPr="003700D2" w:rsidRDefault="003700D2" w:rsidP="00D806AE">
      <w:pPr>
        <w:pStyle w:val="ListParagraph"/>
        <w:numPr>
          <w:ilvl w:val="0"/>
          <w:numId w:val="104"/>
        </w:numPr>
        <w:rPr>
          <w:rFonts w:ascii="Arial" w:hAnsi="Arial" w:cs="Arial"/>
        </w:rPr>
      </w:pPr>
      <w:r w:rsidRPr="003700D2">
        <w:rPr>
          <w:rFonts w:ascii="Arial" w:hAnsi="Arial" w:cs="Arial"/>
        </w:rPr>
        <w:t xml:space="preserve">collaborated with our customers to deliver HR/payroll and finance migration for agencies impacted by machinery-of-government changes </w:t>
      </w:r>
    </w:p>
    <w:p w:rsidR="003700D2" w:rsidRPr="003700D2" w:rsidRDefault="003700D2" w:rsidP="00D806AE">
      <w:pPr>
        <w:pStyle w:val="ListParagraph"/>
        <w:numPr>
          <w:ilvl w:val="0"/>
          <w:numId w:val="104"/>
        </w:numPr>
        <w:rPr>
          <w:rFonts w:ascii="Arial" w:hAnsi="Arial" w:cs="Arial"/>
        </w:rPr>
      </w:pPr>
      <w:r w:rsidRPr="003700D2">
        <w:rPr>
          <w:rFonts w:ascii="Arial" w:hAnsi="Arial" w:cs="Arial"/>
        </w:rPr>
        <w:t xml:space="preserve">paid approximately 70,000 Queensland Government employees, under 13 Acts, 18 Awards and 18 Certified Agreements, with 99 per cent accuracy </w:t>
      </w:r>
    </w:p>
    <w:p w:rsidR="003700D2" w:rsidRPr="003700D2" w:rsidRDefault="003700D2" w:rsidP="00D806AE">
      <w:pPr>
        <w:pStyle w:val="ListParagraph"/>
        <w:numPr>
          <w:ilvl w:val="0"/>
          <w:numId w:val="104"/>
        </w:numPr>
        <w:rPr>
          <w:rFonts w:ascii="Arial" w:hAnsi="Arial" w:cs="Arial"/>
        </w:rPr>
      </w:pPr>
      <w:r w:rsidRPr="003700D2">
        <w:rPr>
          <w:rFonts w:ascii="Arial" w:hAnsi="Arial" w:cs="Arial"/>
        </w:rPr>
        <w:t xml:space="preserve">facilitated 3,798 community recovery payments totalling $1.6 million for 2018 disaster events. </w:t>
      </w:r>
    </w:p>
    <w:p w:rsidR="0028598A" w:rsidRPr="003700D2" w:rsidRDefault="00B625AF" w:rsidP="003700D2">
      <w:pPr>
        <w:pStyle w:val="Heading6"/>
      </w:pPr>
      <w:r w:rsidRPr="003700D2">
        <w:t>Digital transformation</w:t>
      </w:r>
    </w:p>
    <w:p w:rsidR="0028598A" w:rsidRPr="00C96F1A" w:rsidRDefault="00B625AF" w:rsidP="00C96F1A">
      <w:pPr>
        <w:rPr>
          <w:rFonts w:ascii="Arial" w:hAnsi="Arial" w:cs="Arial"/>
        </w:rPr>
      </w:pPr>
      <w:r w:rsidRPr="00C96F1A">
        <w:rPr>
          <w:rFonts w:ascii="Arial" w:hAnsi="Arial" w:cs="Arial"/>
        </w:rPr>
        <w:t>We continued to reshape our engagement and services to government customers during the year, through digital transformation, collaboration and economies of scale.</w:t>
      </w:r>
    </w:p>
    <w:p w:rsidR="0028598A" w:rsidRPr="00C96F1A" w:rsidRDefault="00B625AF" w:rsidP="00C96F1A">
      <w:pPr>
        <w:rPr>
          <w:rFonts w:ascii="Arial" w:hAnsi="Arial" w:cs="Arial"/>
        </w:rPr>
      </w:pPr>
      <w:r w:rsidRPr="00C96F1A">
        <w:rPr>
          <w:rFonts w:ascii="Arial" w:hAnsi="Arial" w:cs="Arial"/>
        </w:rPr>
        <w:t>In 2017–18, we:</w:t>
      </w:r>
    </w:p>
    <w:p w:rsidR="003700D2" w:rsidRPr="003700D2" w:rsidRDefault="003700D2" w:rsidP="00D806AE">
      <w:pPr>
        <w:pStyle w:val="ListParagraph"/>
        <w:numPr>
          <w:ilvl w:val="0"/>
          <w:numId w:val="104"/>
        </w:numPr>
        <w:rPr>
          <w:rFonts w:ascii="Arial" w:hAnsi="Arial" w:cs="Arial"/>
        </w:rPr>
      </w:pPr>
      <w:r w:rsidRPr="003700D2">
        <w:rPr>
          <w:rFonts w:ascii="Arial" w:hAnsi="Arial" w:cs="Arial"/>
        </w:rPr>
        <w:t xml:space="preserve">delivered a system upgrade to the shared finance solution and a single agency HR/payroll solution </w:t>
      </w:r>
    </w:p>
    <w:p w:rsidR="003700D2" w:rsidRPr="003700D2" w:rsidRDefault="003700D2" w:rsidP="00D806AE">
      <w:pPr>
        <w:pStyle w:val="ListParagraph"/>
        <w:numPr>
          <w:ilvl w:val="0"/>
          <w:numId w:val="104"/>
        </w:numPr>
        <w:rPr>
          <w:rFonts w:ascii="Arial" w:hAnsi="Arial" w:cs="Arial"/>
        </w:rPr>
      </w:pPr>
      <w:r w:rsidRPr="003700D2">
        <w:rPr>
          <w:rFonts w:ascii="Arial" w:hAnsi="Arial" w:cs="Arial"/>
        </w:rPr>
        <w:t xml:space="preserve">migrated employees from an out-of-support payroll system to the supported shared payroll system </w:t>
      </w:r>
    </w:p>
    <w:p w:rsidR="003700D2" w:rsidRPr="003700D2" w:rsidRDefault="003700D2" w:rsidP="00D806AE">
      <w:pPr>
        <w:pStyle w:val="ListParagraph"/>
        <w:numPr>
          <w:ilvl w:val="0"/>
          <w:numId w:val="104"/>
        </w:numPr>
        <w:rPr>
          <w:rFonts w:ascii="Arial" w:hAnsi="Arial" w:cs="Arial"/>
        </w:rPr>
      </w:pPr>
      <w:r w:rsidRPr="003700D2">
        <w:rPr>
          <w:rFonts w:ascii="Arial" w:hAnsi="Arial" w:cs="Arial"/>
        </w:rPr>
        <w:t xml:space="preserve">implemented systems to enhance quality controls on Queensland Government corporate card payments to minimise risk of fraud </w:t>
      </w:r>
    </w:p>
    <w:p w:rsidR="003700D2" w:rsidRPr="003700D2" w:rsidRDefault="003700D2" w:rsidP="00D806AE">
      <w:pPr>
        <w:pStyle w:val="ListParagraph"/>
        <w:numPr>
          <w:ilvl w:val="0"/>
          <w:numId w:val="104"/>
        </w:numPr>
        <w:rPr>
          <w:rFonts w:ascii="Arial" w:hAnsi="Arial" w:cs="Arial"/>
        </w:rPr>
      </w:pPr>
      <w:r w:rsidRPr="003700D2">
        <w:rPr>
          <w:rFonts w:ascii="Arial" w:hAnsi="Arial" w:cs="Arial"/>
        </w:rPr>
        <w:t xml:space="preserve">changed HR/payroll systems to enable Queensland public servants to choose an alternative superannuation fund provider. </w:t>
      </w:r>
    </w:p>
    <w:p w:rsidR="0028598A" w:rsidRPr="00C96F1A" w:rsidRDefault="00B625AF" w:rsidP="003700D2">
      <w:pPr>
        <w:pStyle w:val="Heading3"/>
      </w:pPr>
      <w:r w:rsidRPr="00C96F1A">
        <w:t>Our future focus</w:t>
      </w:r>
    </w:p>
    <w:p w:rsidR="0028598A" w:rsidRPr="00C96F1A" w:rsidRDefault="00B625AF" w:rsidP="00C96F1A">
      <w:pPr>
        <w:rPr>
          <w:rFonts w:ascii="Arial" w:hAnsi="Arial" w:cs="Arial"/>
        </w:rPr>
      </w:pPr>
      <w:r w:rsidRPr="00C96F1A">
        <w:rPr>
          <w:rFonts w:ascii="Arial" w:hAnsi="Arial" w:cs="Arial"/>
        </w:rPr>
        <w:t>In 2018–19, the department will continue to deliver responsive services and initiatives that will make a difference to Queenslanders by:</w:t>
      </w:r>
    </w:p>
    <w:p w:rsidR="003700D2" w:rsidRPr="003700D2" w:rsidRDefault="003700D2" w:rsidP="00D806AE">
      <w:pPr>
        <w:pStyle w:val="ListParagraph"/>
        <w:numPr>
          <w:ilvl w:val="0"/>
          <w:numId w:val="104"/>
        </w:numPr>
        <w:rPr>
          <w:rFonts w:ascii="Arial" w:hAnsi="Arial" w:cs="Arial"/>
        </w:rPr>
      </w:pPr>
      <w:r w:rsidRPr="003700D2">
        <w:rPr>
          <w:rFonts w:ascii="Arial" w:hAnsi="Arial" w:cs="Arial"/>
        </w:rPr>
        <w:t xml:space="preserve">maintaining and upgrading HR/payroll and finance systems to enhance functionality </w:t>
      </w:r>
    </w:p>
    <w:p w:rsidR="003700D2" w:rsidRPr="003700D2" w:rsidRDefault="003700D2" w:rsidP="00D806AE">
      <w:pPr>
        <w:pStyle w:val="ListParagraph"/>
        <w:numPr>
          <w:ilvl w:val="0"/>
          <w:numId w:val="104"/>
        </w:numPr>
        <w:rPr>
          <w:rFonts w:ascii="Arial" w:hAnsi="Arial" w:cs="Arial"/>
        </w:rPr>
      </w:pPr>
      <w:r w:rsidRPr="003700D2">
        <w:rPr>
          <w:rFonts w:ascii="Arial" w:hAnsi="Arial" w:cs="Arial"/>
        </w:rPr>
        <w:t xml:space="preserve">partnering with agencies to migrate the remaining out-of-support payroll systems </w:t>
      </w:r>
    </w:p>
    <w:p w:rsidR="003700D2" w:rsidRPr="003700D2" w:rsidRDefault="003700D2" w:rsidP="00D806AE">
      <w:pPr>
        <w:pStyle w:val="ListParagraph"/>
        <w:numPr>
          <w:ilvl w:val="0"/>
          <w:numId w:val="104"/>
        </w:numPr>
        <w:rPr>
          <w:rFonts w:ascii="Arial" w:hAnsi="Arial" w:cs="Arial"/>
        </w:rPr>
      </w:pPr>
      <w:r w:rsidRPr="003700D2">
        <w:rPr>
          <w:rFonts w:ascii="Arial" w:hAnsi="Arial" w:cs="Arial"/>
        </w:rPr>
        <w:lastRenderedPageBreak/>
        <w:t xml:space="preserve">collaborating to deliver data and analytics solutions, such as corporate identity management and system integration, to provide real-time reporting and insights for agencies </w:t>
      </w:r>
    </w:p>
    <w:p w:rsidR="003700D2" w:rsidRPr="003700D2" w:rsidRDefault="003700D2" w:rsidP="00D806AE">
      <w:pPr>
        <w:pStyle w:val="ListParagraph"/>
        <w:numPr>
          <w:ilvl w:val="0"/>
          <w:numId w:val="104"/>
        </w:numPr>
        <w:rPr>
          <w:rFonts w:ascii="Arial" w:hAnsi="Arial" w:cs="Arial"/>
        </w:rPr>
      </w:pPr>
      <w:r w:rsidRPr="003700D2">
        <w:rPr>
          <w:rFonts w:ascii="Arial" w:hAnsi="Arial" w:cs="Arial"/>
        </w:rPr>
        <w:t xml:space="preserve">piloting robotics software to gain efficiencies and increase accuracy from repetitive data entry tasks </w:t>
      </w:r>
    </w:p>
    <w:p w:rsidR="003700D2" w:rsidRPr="003700D2" w:rsidRDefault="003700D2" w:rsidP="00D806AE">
      <w:pPr>
        <w:pStyle w:val="ListParagraph"/>
        <w:numPr>
          <w:ilvl w:val="0"/>
          <w:numId w:val="104"/>
        </w:numPr>
        <w:rPr>
          <w:rFonts w:ascii="Arial" w:hAnsi="Arial" w:cs="Arial"/>
        </w:rPr>
      </w:pPr>
      <w:r w:rsidRPr="003700D2">
        <w:rPr>
          <w:rFonts w:ascii="Arial" w:hAnsi="Arial" w:cs="Arial"/>
        </w:rPr>
        <w:t>collaborating to deliver a single sign-on solution for customers.</w:t>
      </w:r>
    </w:p>
    <w:p w:rsidR="00D32A5E" w:rsidRPr="00655F39" w:rsidRDefault="00D32A5E" w:rsidP="00D32A5E">
      <w:pPr>
        <w:pStyle w:val="Heading3"/>
        <w:rPr>
          <w:b w:val="0"/>
          <w:caps/>
          <w:color w:val="000000" w:themeColor="text1"/>
          <w:szCs w:val="32"/>
        </w:rPr>
      </w:pPr>
      <w:bookmarkStart w:id="49" w:name="SERVICE_AREAS_END"/>
      <w:r w:rsidRPr="00371863">
        <w:rPr>
          <w:caps/>
          <w:color w:val="000000" w:themeColor="text1"/>
          <w:szCs w:val="32"/>
        </w:rPr>
        <w:t>Service Standards</w:t>
      </w:r>
    </w:p>
    <w:tbl>
      <w:tblPr>
        <w:tblW w:w="9883" w:type="dxa"/>
        <w:tblInd w:w="-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1E0" w:firstRow="1" w:lastRow="1" w:firstColumn="1" w:lastColumn="1" w:noHBand="0" w:noVBand="0"/>
      </w:tblPr>
      <w:tblGrid>
        <w:gridCol w:w="7377"/>
        <w:gridCol w:w="1246"/>
        <w:gridCol w:w="1260"/>
      </w:tblGrid>
      <w:tr w:rsidR="00D32A5E" w:rsidRPr="002C4058" w:rsidTr="00D32A5E">
        <w:trPr>
          <w:tblHeader/>
        </w:trPr>
        <w:tc>
          <w:tcPr>
            <w:tcW w:w="7377" w:type="dxa"/>
            <w:shd w:val="clear" w:color="auto" w:fill="000000" w:themeFill="text1"/>
            <w:vAlign w:val="center"/>
            <w:hideMark/>
          </w:tcPr>
          <w:bookmarkEnd w:id="49"/>
          <w:p w:rsidR="00D32A5E" w:rsidRPr="007866CA" w:rsidRDefault="00D32A5E" w:rsidP="00D32A5E">
            <w:pPr>
              <w:pStyle w:val="TableTextHeading"/>
              <w:jc w:val="left"/>
              <w:rPr>
                <w:color w:val="FFFFFF" w:themeColor="background1"/>
                <w:vertAlign w:val="superscript"/>
              </w:rPr>
            </w:pPr>
            <w:r w:rsidRPr="11284B68">
              <w:rPr>
                <w:color w:val="FFFFFF" w:themeColor="background1"/>
              </w:rPr>
              <w:t>Queensland Shared Services</w:t>
            </w:r>
            <w:r w:rsidRPr="11284B68">
              <w:rPr>
                <w:color w:val="FFFFFF" w:themeColor="background1"/>
                <w:vertAlign w:val="superscript"/>
              </w:rPr>
              <w:t>1</w:t>
            </w:r>
          </w:p>
        </w:tc>
        <w:tc>
          <w:tcPr>
            <w:tcW w:w="1246" w:type="dxa"/>
            <w:shd w:val="clear" w:color="auto" w:fill="000000" w:themeFill="text1"/>
            <w:vAlign w:val="center"/>
            <w:hideMark/>
          </w:tcPr>
          <w:p w:rsidR="00D32A5E" w:rsidRPr="002C4058" w:rsidRDefault="00D32A5E" w:rsidP="00D32A5E">
            <w:pPr>
              <w:pStyle w:val="TableTextHeading"/>
              <w:rPr>
                <w:color w:val="FFFFFF" w:themeColor="background1"/>
              </w:rPr>
            </w:pPr>
            <w:r>
              <w:rPr>
                <w:color w:val="FFFFFF" w:themeColor="background1"/>
              </w:rPr>
              <w:t>2017–18</w:t>
            </w:r>
          </w:p>
          <w:p w:rsidR="00D32A5E" w:rsidRPr="002C4058" w:rsidRDefault="00D32A5E" w:rsidP="00D32A5E">
            <w:pPr>
              <w:pStyle w:val="TableTextHeading"/>
              <w:rPr>
                <w:color w:val="FFFFFF" w:themeColor="background1"/>
              </w:rPr>
            </w:pPr>
            <w:r w:rsidRPr="11284B68">
              <w:rPr>
                <w:color w:val="FFFFFF" w:themeColor="background1"/>
              </w:rPr>
              <w:t>Target/Est.</w:t>
            </w:r>
          </w:p>
        </w:tc>
        <w:tc>
          <w:tcPr>
            <w:tcW w:w="1260" w:type="dxa"/>
            <w:shd w:val="clear" w:color="auto" w:fill="000000" w:themeFill="text1"/>
            <w:vAlign w:val="center"/>
            <w:hideMark/>
          </w:tcPr>
          <w:p w:rsidR="00D32A5E" w:rsidRPr="002C4058" w:rsidRDefault="00D32A5E" w:rsidP="00D32A5E">
            <w:pPr>
              <w:pStyle w:val="TableTextHeading"/>
              <w:rPr>
                <w:color w:val="FFFFFF" w:themeColor="background1"/>
              </w:rPr>
            </w:pPr>
            <w:r>
              <w:rPr>
                <w:color w:val="FFFFFF" w:themeColor="background1"/>
              </w:rPr>
              <w:t>2017–18</w:t>
            </w:r>
          </w:p>
          <w:p w:rsidR="00D32A5E" w:rsidRPr="002C4058" w:rsidRDefault="00D32A5E" w:rsidP="00D32A5E">
            <w:pPr>
              <w:pStyle w:val="TableTextHeading"/>
              <w:rPr>
                <w:color w:val="FFFFFF" w:themeColor="background1"/>
              </w:rPr>
            </w:pPr>
            <w:r w:rsidRPr="11284B68">
              <w:rPr>
                <w:color w:val="FFFFFF" w:themeColor="background1"/>
              </w:rPr>
              <w:t>Actual</w:t>
            </w:r>
          </w:p>
        </w:tc>
      </w:tr>
      <w:tr w:rsidR="00D32A5E" w:rsidRPr="00B914DC" w:rsidTr="00D32A5E">
        <w:trPr>
          <w:tblHeader/>
        </w:trPr>
        <w:tc>
          <w:tcPr>
            <w:tcW w:w="7377" w:type="dxa"/>
            <w:shd w:val="clear" w:color="auto" w:fill="808080" w:themeFill="text1" w:themeFillTint="7F"/>
            <w:vAlign w:val="center"/>
          </w:tcPr>
          <w:p w:rsidR="00D32A5E" w:rsidRPr="00B914DC" w:rsidRDefault="00D32A5E" w:rsidP="00D32A5E">
            <w:pPr>
              <w:pStyle w:val="TableTextHeading"/>
              <w:jc w:val="left"/>
              <w:rPr>
                <w:color w:val="FFFFFF" w:themeColor="background1"/>
              </w:rPr>
            </w:pPr>
            <w:r w:rsidRPr="11284B68">
              <w:rPr>
                <w:color w:val="FFFFFF" w:themeColor="background1"/>
              </w:rPr>
              <w:t>Service area: HR</w:t>
            </w:r>
          </w:p>
        </w:tc>
        <w:tc>
          <w:tcPr>
            <w:tcW w:w="1246" w:type="dxa"/>
            <w:shd w:val="clear" w:color="auto" w:fill="808080" w:themeFill="text1" w:themeFillTint="7F"/>
            <w:vAlign w:val="center"/>
          </w:tcPr>
          <w:p w:rsidR="00D32A5E" w:rsidRPr="00B914DC" w:rsidRDefault="00D32A5E" w:rsidP="00D32A5E">
            <w:pPr>
              <w:pStyle w:val="TableTextHeading"/>
              <w:rPr>
                <w:color w:val="FFFFFF" w:themeColor="background1"/>
              </w:rPr>
            </w:pPr>
          </w:p>
        </w:tc>
        <w:tc>
          <w:tcPr>
            <w:tcW w:w="1260" w:type="dxa"/>
            <w:shd w:val="clear" w:color="auto" w:fill="808080" w:themeFill="text1" w:themeFillTint="7F"/>
            <w:vAlign w:val="center"/>
          </w:tcPr>
          <w:p w:rsidR="00D32A5E" w:rsidRPr="00B914DC" w:rsidRDefault="00D32A5E" w:rsidP="00D32A5E">
            <w:pPr>
              <w:pStyle w:val="TableTextHeading"/>
              <w:rPr>
                <w:color w:val="FFFFFF" w:themeColor="background1"/>
              </w:rPr>
            </w:pPr>
          </w:p>
        </w:tc>
      </w:tr>
      <w:tr w:rsidR="00D32A5E" w:rsidRPr="00DE340B" w:rsidTr="00D32A5E">
        <w:tc>
          <w:tcPr>
            <w:tcW w:w="7377" w:type="dxa"/>
            <w:shd w:val="clear" w:color="auto" w:fill="D9D9D9" w:themeFill="background1" w:themeFillShade="D9"/>
            <w:vAlign w:val="bottom"/>
          </w:tcPr>
          <w:p w:rsidR="00D32A5E" w:rsidRPr="00AF05E5" w:rsidRDefault="00D32A5E" w:rsidP="00D32A5E">
            <w:pPr>
              <w:pStyle w:val="TableTextItalics"/>
              <w:rPr>
                <w:b/>
                <w:bCs/>
              </w:rPr>
            </w:pPr>
            <w:r w:rsidRPr="00AF05E5">
              <w:rPr>
                <w:b/>
                <w:bCs/>
              </w:rPr>
              <w:t>Effectiveness measures</w:t>
            </w:r>
          </w:p>
        </w:tc>
        <w:tc>
          <w:tcPr>
            <w:tcW w:w="1246" w:type="dxa"/>
            <w:shd w:val="clear" w:color="auto" w:fill="D9D9D9" w:themeFill="background1" w:themeFillShade="D9"/>
            <w:vAlign w:val="bottom"/>
          </w:tcPr>
          <w:p w:rsidR="00D32A5E" w:rsidRPr="00DE340B" w:rsidRDefault="00D32A5E" w:rsidP="00D32A5E">
            <w:pPr>
              <w:pStyle w:val="TableTextRight"/>
              <w:rPr>
                <w:b/>
              </w:rPr>
            </w:pPr>
          </w:p>
        </w:tc>
        <w:tc>
          <w:tcPr>
            <w:tcW w:w="1260" w:type="dxa"/>
            <w:shd w:val="clear" w:color="auto" w:fill="D9D9D9" w:themeFill="background1" w:themeFillShade="D9"/>
            <w:vAlign w:val="bottom"/>
          </w:tcPr>
          <w:p w:rsidR="00D32A5E" w:rsidRPr="00DE340B" w:rsidRDefault="00D32A5E" w:rsidP="00D32A5E">
            <w:pPr>
              <w:pStyle w:val="TableTextRight"/>
              <w:rPr>
                <w:b/>
              </w:rPr>
            </w:pPr>
          </w:p>
        </w:tc>
      </w:tr>
      <w:tr w:rsidR="00D32A5E" w:rsidRPr="00246DD9" w:rsidTr="00D32A5E">
        <w:tc>
          <w:tcPr>
            <w:tcW w:w="7377" w:type="dxa"/>
            <w:tcBorders>
              <w:bottom w:val="nil"/>
            </w:tcBorders>
            <w:vAlign w:val="bottom"/>
            <w:hideMark/>
          </w:tcPr>
          <w:p w:rsidR="00D32A5E" w:rsidRPr="006C320B" w:rsidRDefault="00D32A5E" w:rsidP="00D32A5E">
            <w:pPr>
              <w:pStyle w:val="TableText"/>
            </w:pPr>
            <w:r w:rsidRPr="0098366B">
              <w:t>Percentage of Payroll Services delivered within Service Agreement standards</w:t>
            </w:r>
          </w:p>
        </w:tc>
        <w:tc>
          <w:tcPr>
            <w:tcW w:w="1246" w:type="dxa"/>
            <w:tcBorders>
              <w:bottom w:val="nil"/>
            </w:tcBorders>
            <w:vAlign w:val="bottom"/>
          </w:tcPr>
          <w:p w:rsidR="00D32A5E" w:rsidRPr="006C320B" w:rsidRDefault="00D32A5E" w:rsidP="00D32A5E">
            <w:pPr>
              <w:pStyle w:val="TableTextRight"/>
            </w:pPr>
            <w:r w:rsidRPr="000431B7">
              <w:t>≥97%</w:t>
            </w:r>
          </w:p>
        </w:tc>
        <w:tc>
          <w:tcPr>
            <w:tcW w:w="1260" w:type="dxa"/>
            <w:tcBorders>
              <w:bottom w:val="nil"/>
            </w:tcBorders>
            <w:vAlign w:val="bottom"/>
          </w:tcPr>
          <w:p w:rsidR="00D32A5E" w:rsidRPr="006C320B" w:rsidRDefault="00D32A5E" w:rsidP="00D32A5E">
            <w:pPr>
              <w:pStyle w:val="TableTextRight"/>
            </w:pPr>
            <w:r>
              <w:t>99%</w:t>
            </w:r>
          </w:p>
        </w:tc>
      </w:tr>
      <w:tr w:rsidR="00D32A5E" w:rsidRPr="00246DD9" w:rsidTr="00D32A5E">
        <w:tc>
          <w:tcPr>
            <w:tcW w:w="7377" w:type="dxa"/>
            <w:tcBorders>
              <w:bottom w:val="nil"/>
            </w:tcBorders>
            <w:vAlign w:val="bottom"/>
            <w:hideMark/>
          </w:tcPr>
          <w:p w:rsidR="00D32A5E" w:rsidRPr="006C320B" w:rsidRDefault="00D32A5E" w:rsidP="00D32A5E">
            <w:pPr>
              <w:pStyle w:val="TableText"/>
            </w:pPr>
            <w:r w:rsidRPr="00486DA4">
              <w:t xml:space="preserve">Client satisfaction with HR </w:t>
            </w:r>
            <w:r>
              <w:t>s</w:t>
            </w:r>
            <w:r w:rsidRPr="00486DA4">
              <w:t>ervices</w:t>
            </w:r>
          </w:p>
        </w:tc>
        <w:tc>
          <w:tcPr>
            <w:tcW w:w="1246" w:type="dxa"/>
            <w:tcBorders>
              <w:bottom w:val="nil"/>
            </w:tcBorders>
            <w:vAlign w:val="bottom"/>
          </w:tcPr>
          <w:p w:rsidR="00D32A5E" w:rsidRPr="006C320B" w:rsidRDefault="00D32A5E" w:rsidP="00D32A5E">
            <w:pPr>
              <w:pStyle w:val="TableTextRight"/>
            </w:pPr>
            <w:r>
              <w:t>80%</w:t>
            </w:r>
          </w:p>
        </w:tc>
        <w:tc>
          <w:tcPr>
            <w:tcW w:w="1260" w:type="dxa"/>
            <w:tcBorders>
              <w:bottom w:val="nil"/>
            </w:tcBorders>
            <w:vAlign w:val="bottom"/>
          </w:tcPr>
          <w:p w:rsidR="00D32A5E" w:rsidRPr="006C320B" w:rsidRDefault="00D32A5E" w:rsidP="00D32A5E">
            <w:pPr>
              <w:pStyle w:val="TableTextRight"/>
            </w:pPr>
            <w:r>
              <w:t>55%</w:t>
            </w:r>
          </w:p>
        </w:tc>
      </w:tr>
      <w:tr w:rsidR="00D32A5E" w:rsidRPr="00AE6204" w:rsidTr="00D32A5E">
        <w:tc>
          <w:tcPr>
            <w:tcW w:w="7377" w:type="dxa"/>
            <w:tcBorders>
              <w:top w:val="nil"/>
            </w:tcBorders>
          </w:tcPr>
          <w:p w:rsidR="00D32A5E" w:rsidRPr="00D32A5E" w:rsidRDefault="00D32A5E" w:rsidP="00DD2A8F">
            <w:pPr>
              <w:pStyle w:val="NoteIndent"/>
              <w:numPr>
                <w:ilvl w:val="0"/>
                <w:numId w:val="0"/>
              </w:numPr>
              <w:rPr>
                <w:rFonts w:cs="MetaNormalLF-Italic"/>
                <w:color w:val="403F41"/>
                <w:sz w:val="14"/>
                <w:szCs w:val="14"/>
              </w:rPr>
            </w:pPr>
            <w:r w:rsidRPr="00DD2A8F">
              <w:rPr>
                <w:rFonts w:ascii="Arial Narrow" w:eastAsia="Arial Narrow" w:hAnsi="Arial Narrow" w:cs="Arial Narrow"/>
                <w:i/>
                <w:iCs/>
              </w:rPr>
              <w:t>The 2017–18 Actual results for HR is below the target of 80% and in 2018–19 QSS will continue to focus on improvements through improved technology and business processes. Based on customer feedback, designing services to make them more streamlined and seamless for end users, is expected to increase customer satisfaction with HR and Finance Services.</w:t>
            </w:r>
            <w:r>
              <w:rPr>
                <w:rFonts w:cs="MetaNormalLF-Italic"/>
                <w:color w:val="403F41"/>
                <w:sz w:val="14"/>
                <w:szCs w:val="14"/>
              </w:rPr>
              <w:t xml:space="preserve"> </w:t>
            </w:r>
          </w:p>
        </w:tc>
        <w:tc>
          <w:tcPr>
            <w:tcW w:w="1246" w:type="dxa"/>
            <w:tcBorders>
              <w:top w:val="nil"/>
            </w:tcBorders>
            <w:vAlign w:val="bottom"/>
          </w:tcPr>
          <w:p w:rsidR="00D32A5E" w:rsidRPr="00AE6204" w:rsidRDefault="00D32A5E" w:rsidP="00D32A5E">
            <w:pPr>
              <w:pStyle w:val="TableText"/>
              <w:rPr>
                <w:rFonts w:ascii="Arial Narrow" w:hAnsi="Arial Narrow"/>
                <w:i/>
                <w:sz w:val="14"/>
                <w:szCs w:val="14"/>
              </w:rPr>
            </w:pPr>
          </w:p>
        </w:tc>
        <w:tc>
          <w:tcPr>
            <w:tcW w:w="1260" w:type="dxa"/>
            <w:tcBorders>
              <w:top w:val="nil"/>
            </w:tcBorders>
            <w:vAlign w:val="bottom"/>
          </w:tcPr>
          <w:p w:rsidR="00D32A5E" w:rsidRPr="00AE6204" w:rsidRDefault="00D32A5E" w:rsidP="00D32A5E">
            <w:pPr>
              <w:pStyle w:val="TableText"/>
              <w:rPr>
                <w:rFonts w:ascii="Arial Narrow" w:hAnsi="Arial Narrow"/>
                <w:i/>
                <w:sz w:val="14"/>
                <w:szCs w:val="14"/>
              </w:rPr>
            </w:pPr>
          </w:p>
        </w:tc>
      </w:tr>
      <w:tr w:rsidR="00D32A5E" w:rsidRPr="002C4058" w:rsidTr="00D32A5E">
        <w:tc>
          <w:tcPr>
            <w:tcW w:w="7377" w:type="dxa"/>
            <w:shd w:val="clear" w:color="auto" w:fill="D9D9D9" w:themeFill="background1" w:themeFillShade="D9"/>
            <w:vAlign w:val="bottom"/>
          </w:tcPr>
          <w:p w:rsidR="00D32A5E" w:rsidRPr="00AF05E5" w:rsidRDefault="00D32A5E" w:rsidP="00D32A5E">
            <w:pPr>
              <w:pStyle w:val="TableTextItalics"/>
              <w:rPr>
                <w:b/>
                <w:bCs/>
              </w:rPr>
            </w:pPr>
            <w:r w:rsidRPr="00AF05E5">
              <w:rPr>
                <w:b/>
                <w:bCs/>
              </w:rPr>
              <w:t>Efficiency measures</w:t>
            </w:r>
          </w:p>
        </w:tc>
        <w:tc>
          <w:tcPr>
            <w:tcW w:w="1246" w:type="dxa"/>
            <w:shd w:val="clear" w:color="auto" w:fill="D9D9D9" w:themeFill="background1" w:themeFillShade="D9"/>
            <w:vAlign w:val="bottom"/>
          </w:tcPr>
          <w:p w:rsidR="00D32A5E" w:rsidRPr="002C4058" w:rsidRDefault="00D32A5E" w:rsidP="00D32A5E">
            <w:pPr>
              <w:pStyle w:val="TableTextRight"/>
              <w:rPr>
                <w:b/>
              </w:rPr>
            </w:pPr>
          </w:p>
        </w:tc>
        <w:tc>
          <w:tcPr>
            <w:tcW w:w="1260" w:type="dxa"/>
            <w:shd w:val="clear" w:color="auto" w:fill="D9D9D9" w:themeFill="background1" w:themeFillShade="D9"/>
            <w:vAlign w:val="bottom"/>
          </w:tcPr>
          <w:p w:rsidR="00D32A5E" w:rsidRPr="002C4058" w:rsidRDefault="00D32A5E" w:rsidP="00D32A5E">
            <w:pPr>
              <w:pStyle w:val="TableTextRight"/>
              <w:rPr>
                <w:b/>
              </w:rPr>
            </w:pPr>
          </w:p>
        </w:tc>
      </w:tr>
      <w:tr w:rsidR="00D32A5E" w:rsidRPr="00246DD9" w:rsidTr="00D32A5E">
        <w:tc>
          <w:tcPr>
            <w:tcW w:w="7377" w:type="dxa"/>
            <w:tcBorders>
              <w:bottom w:val="nil"/>
            </w:tcBorders>
            <w:vAlign w:val="bottom"/>
            <w:hideMark/>
          </w:tcPr>
          <w:p w:rsidR="00D32A5E" w:rsidRPr="006C320B" w:rsidRDefault="00D32A5E" w:rsidP="00D32A5E">
            <w:pPr>
              <w:pStyle w:val="TableText"/>
            </w:pPr>
            <w:r w:rsidRPr="00472E89">
              <w:t>Number of pays processed per full-time equivalent</w:t>
            </w:r>
            <w:r>
              <w:t xml:space="preserve"> (FTE)</w:t>
            </w:r>
            <w:r w:rsidRPr="00472E89">
              <w:t xml:space="preserve"> per fortnight</w:t>
            </w:r>
          </w:p>
        </w:tc>
        <w:tc>
          <w:tcPr>
            <w:tcW w:w="1246" w:type="dxa"/>
            <w:tcBorders>
              <w:bottom w:val="nil"/>
            </w:tcBorders>
            <w:vAlign w:val="bottom"/>
          </w:tcPr>
          <w:p w:rsidR="00D32A5E" w:rsidRPr="006C320B" w:rsidRDefault="00D32A5E" w:rsidP="00D32A5E">
            <w:pPr>
              <w:pStyle w:val="TableTextRight"/>
            </w:pPr>
            <w:r w:rsidRPr="00FB2F28">
              <w:t>≥350</w:t>
            </w:r>
          </w:p>
        </w:tc>
        <w:tc>
          <w:tcPr>
            <w:tcW w:w="1260" w:type="dxa"/>
            <w:tcBorders>
              <w:bottom w:val="nil"/>
            </w:tcBorders>
            <w:vAlign w:val="bottom"/>
          </w:tcPr>
          <w:p w:rsidR="00D32A5E" w:rsidRPr="006C320B" w:rsidRDefault="00D32A5E" w:rsidP="00D32A5E">
            <w:pPr>
              <w:pStyle w:val="TableTextRight"/>
            </w:pPr>
            <w:r>
              <w:t>303</w:t>
            </w:r>
          </w:p>
        </w:tc>
      </w:tr>
      <w:tr w:rsidR="00D32A5E" w:rsidRPr="00AE6204" w:rsidTr="00D32A5E">
        <w:tc>
          <w:tcPr>
            <w:tcW w:w="7377" w:type="dxa"/>
            <w:tcBorders>
              <w:top w:val="nil"/>
            </w:tcBorders>
          </w:tcPr>
          <w:p w:rsidR="00D32A5E" w:rsidRPr="00DD2A8F" w:rsidRDefault="00D32A5E" w:rsidP="00DD2A8F">
            <w:pPr>
              <w:pStyle w:val="NoteIndent"/>
              <w:numPr>
                <w:ilvl w:val="0"/>
                <w:numId w:val="0"/>
              </w:numPr>
              <w:rPr>
                <w:rFonts w:ascii="Arial Narrow" w:eastAsia="Arial Narrow" w:hAnsi="Arial Narrow" w:cs="Arial Narrow"/>
                <w:i/>
                <w:iCs/>
              </w:rPr>
            </w:pPr>
            <w:r w:rsidRPr="00DD2A8F">
              <w:rPr>
                <w:rFonts w:ascii="Arial Narrow" w:eastAsia="Arial Narrow" w:hAnsi="Arial Narrow" w:cs="Arial Narrow"/>
                <w:i/>
                <w:iCs/>
              </w:rPr>
              <w:t xml:space="preserve">Variance between 2017–18 Target/Estimate and 2017–18 Actual is due to several enterprise bargaining increases being delivered during the period along with a significant increase in the proportion of manual forms and timesheets that needed to be processed. This has required resourcing to be maintained at original levels resulting in less pays processed per FTE. QSS is working with the Customer Board to deliver improvements to pricing in 2018–19 which will assist customers to move away from manual channels which in turn will improve the performance. </w:t>
            </w:r>
          </w:p>
        </w:tc>
        <w:tc>
          <w:tcPr>
            <w:tcW w:w="1246" w:type="dxa"/>
            <w:tcBorders>
              <w:top w:val="nil"/>
            </w:tcBorders>
            <w:vAlign w:val="bottom"/>
          </w:tcPr>
          <w:p w:rsidR="00D32A5E" w:rsidRPr="00AE6204" w:rsidRDefault="00D32A5E" w:rsidP="00D32A5E">
            <w:pPr>
              <w:pStyle w:val="TableText"/>
              <w:rPr>
                <w:rFonts w:ascii="Arial Narrow" w:hAnsi="Arial Narrow"/>
                <w:i/>
                <w:sz w:val="14"/>
                <w:szCs w:val="14"/>
              </w:rPr>
            </w:pPr>
          </w:p>
        </w:tc>
        <w:tc>
          <w:tcPr>
            <w:tcW w:w="1260" w:type="dxa"/>
            <w:tcBorders>
              <w:top w:val="nil"/>
            </w:tcBorders>
            <w:vAlign w:val="bottom"/>
          </w:tcPr>
          <w:p w:rsidR="00D32A5E" w:rsidRPr="00AE6204" w:rsidRDefault="00D32A5E" w:rsidP="00D32A5E">
            <w:pPr>
              <w:pStyle w:val="TableText"/>
              <w:rPr>
                <w:rFonts w:ascii="Arial Narrow" w:hAnsi="Arial Narrow"/>
                <w:i/>
                <w:sz w:val="14"/>
                <w:szCs w:val="14"/>
              </w:rPr>
            </w:pPr>
          </w:p>
        </w:tc>
      </w:tr>
      <w:tr w:rsidR="00D32A5E" w:rsidRPr="00B914DC" w:rsidTr="00D32A5E">
        <w:trPr>
          <w:tblHeader/>
        </w:trPr>
        <w:tc>
          <w:tcPr>
            <w:tcW w:w="7377" w:type="dxa"/>
            <w:shd w:val="clear" w:color="auto" w:fill="808080" w:themeFill="text1" w:themeFillTint="7F"/>
            <w:vAlign w:val="center"/>
          </w:tcPr>
          <w:p w:rsidR="00D32A5E" w:rsidRPr="00B914DC" w:rsidRDefault="00D32A5E" w:rsidP="00D32A5E">
            <w:pPr>
              <w:pStyle w:val="TableTextHeading"/>
              <w:jc w:val="left"/>
              <w:rPr>
                <w:color w:val="FFFFFF" w:themeColor="background1"/>
              </w:rPr>
            </w:pPr>
            <w:r w:rsidRPr="11284B68">
              <w:rPr>
                <w:color w:val="FFFFFF" w:themeColor="background1"/>
              </w:rPr>
              <w:t>Service area: Finance</w:t>
            </w:r>
          </w:p>
        </w:tc>
        <w:tc>
          <w:tcPr>
            <w:tcW w:w="1246" w:type="dxa"/>
            <w:shd w:val="clear" w:color="auto" w:fill="808080" w:themeFill="text1" w:themeFillTint="7F"/>
            <w:vAlign w:val="center"/>
          </w:tcPr>
          <w:p w:rsidR="00D32A5E" w:rsidRPr="00B914DC" w:rsidRDefault="00D32A5E" w:rsidP="00D32A5E">
            <w:pPr>
              <w:pStyle w:val="TableTextHeading"/>
              <w:rPr>
                <w:color w:val="FFFFFF" w:themeColor="background1"/>
              </w:rPr>
            </w:pPr>
          </w:p>
        </w:tc>
        <w:tc>
          <w:tcPr>
            <w:tcW w:w="1260" w:type="dxa"/>
            <w:shd w:val="clear" w:color="auto" w:fill="808080" w:themeFill="text1" w:themeFillTint="7F"/>
            <w:vAlign w:val="center"/>
          </w:tcPr>
          <w:p w:rsidR="00D32A5E" w:rsidRPr="00B914DC" w:rsidRDefault="00D32A5E" w:rsidP="00D32A5E">
            <w:pPr>
              <w:pStyle w:val="TableTextHeading"/>
              <w:rPr>
                <w:color w:val="FFFFFF" w:themeColor="background1"/>
              </w:rPr>
            </w:pPr>
          </w:p>
        </w:tc>
      </w:tr>
      <w:tr w:rsidR="00D32A5E" w:rsidRPr="00DE340B" w:rsidTr="00D32A5E">
        <w:tc>
          <w:tcPr>
            <w:tcW w:w="7377" w:type="dxa"/>
            <w:shd w:val="clear" w:color="auto" w:fill="D9D9D9" w:themeFill="background1" w:themeFillShade="D9"/>
            <w:vAlign w:val="bottom"/>
          </w:tcPr>
          <w:p w:rsidR="00D32A5E" w:rsidRPr="00AF05E5" w:rsidRDefault="00D32A5E" w:rsidP="00D32A5E">
            <w:pPr>
              <w:pStyle w:val="TableTextItalics"/>
              <w:rPr>
                <w:b/>
                <w:bCs/>
              </w:rPr>
            </w:pPr>
            <w:r w:rsidRPr="00AF05E5">
              <w:rPr>
                <w:b/>
                <w:bCs/>
              </w:rPr>
              <w:t>Effectiveness measures</w:t>
            </w:r>
          </w:p>
        </w:tc>
        <w:tc>
          <w:tcPr>
            <w:tcW w:w="1246" w:type="dxa"/>
            <w:shd w:val="clear" w:color="auto" w:fill="D9D9D9" w:themeFill="background1" w:themeFillShade="D9"/>
            <w:vAlign w:val="bottom"/>
          </w:tcPr>
          <w:p w:rsidR="00D32A5E" w:rsidRPr="00DE340B" w:rsidRDefault="00D32A5E" w:rsidP="00D32A5E">
            <w:pPr>
              <w:pStyle w:val="TableTextRight"/>
              <w:rPr>
                <w:b/>
              </w:rPr>
            </w:pPr>
          </w:p>
        </w:tc>
        <w:tc>
          <w:tcPr>
            <w:tcW w:w="1260" w:type="dxa"/>
            <w:shd w:val="clear" w:color="auto" w:fill="D9D9D9" w:themeFill="background1" w:themeFillShade="D9"/>
            <w:vAlign w:val="bottom"/>
          </w:tcPr>
          <w:p w:rsidR="00D32A5E" w:rsidRPr="00DE340B" w:rsidRDefault="00D32A5E" w:rsidP="00D32A5E">
            <w:pPr>
              <w:pStyle w:val="TableTextRight"/>
              <w:rPr>
                <w:b/>
              </w:rPr>
            </w:pPr>
          </w:p>
        </w:tc>
      </w:tr>
      <w:tr w:rsidR="00D32A5E" w:rsidRPr="00246DD9" w:rsidTr="00D32A5E">
        <w:tc>
          <w:tcPr>
            <w:tcW w:w="7377" w:type="dxa"/>
            <w:tcBorders>
              <w:bottom w:val="nil"/>
            </w:tcBorders>
            <w:vAlign w:val="bottom"/>
            <w:hideMark/>
          </w:tcPr>
          <w:p w:rsidR="00D32A5E" w:rsidRPr="006C320B" w:rsidRDefault="00D32A5E" w:rsidP="00D32A5E">
            <w:pPr>
              <w:pStyle w:val="TableText"/>
            </w:pPr>
            <w:r w:rsidRPr="0014363E">
              <w:t>Percentage of Finance Services delivered within Service Agreement standards</w:t>
            </w:r>
          </w:p>
        </w:tc>
        <w:tc>
          <w:tcPr>
            <w:tcW w:w="1246" w:type="dxa"/>
            <w:tcBorders>
              <w:bottom w:val="nil"/>
            </w:tcBorders>
            <w:vAlign w:val="bottom"/>
          </w:tcPr>
          <w:p w:rsidR="00D32A5E" w:rsidRPr="006C320B" w:rsidRDefault="00D32A5E" w:rsidP="00D32A5E">
            <w:pPr>
              <w:pStyle w:val="TableTextRight"/>
            </w:pPr>
            <w:r w:rsidRPr="0040222B">
              <w:t>≥95%</w:t>
            </w:r>
          </w:p>
        </w:tc>
        <w:tc>
          <w:tcPr>
            <w:tcW w:w="1260" w:type="dxa"/>
            <w:tcBorders>
              <w:bottom w:val="nil"/>
            </w:tcBorders>
            <w:vAlign w:val="bottom"/>
          </w:tcPr>
          <w:p w:rsidR="00D32A5E" w:rsidRPr="006C320B" w:rsidRDefault="00D32A5E" w:rsidP="00D32A5E">
            <w:pPr>
              <w:pStyle w:val="TableTextRight"/>
            </w:pPr>
            <w:r>
              <w:t>85%</w:t>
            </w:r>
          </w:p>
        </w:tc>
      </w:tr>
      <w:tr w:rsidR="00D32A5E" w:rsidRPr="00246DD9" w:rsidTr="00D32A5E">
        <w:tc>
          <w:tcPr>
            <w:tcW w:w="7377" w:type="dxa"/>
            <w:tcBorders>
              <w:top w:val="nil"/>
            </w:tcBorders>
            <w:vAlign w:val="bottom"/>
          </w:tcPr>
          <w:p w:rsidR="00D32A5E" w:rsidRPr="00DD2A8F" w:rsidRDefault="00DD2A8F" w:rsidP="00DD2A8F">
            <w:pPr>
              <w:pStyle w:val="NoteIndent"/>
              <w:numPr>
                <w:ilvl w:val="0"/>
                <w:numId w:val="0"/>
              </w:numPr>
              <w:rPr>
                <w:rFonts w:ascii="MetaNormalLF-Italic" w:eastAsiaTheme="minorEastAsia" w:hAnsi="MetaNormalLF-Italic" w:cs="MetaNormalLF-Italic"/>
                <w:color w:val="000000"/>
                <w:sz w:val="14"/>
                <w:szCs w:val="14"/>
              </w:rPr>
            </w:pPr>
            <w:r w:rsidRPr="00DD2A8F">
              <w:rPr>
                <w:rFonts w:ascii="Arial Narrow" w:eastAsia="Arial Narrow" w:hAnsi="Arial Narrow" w:cs="Arial Narrow"/>
                <w:i/>
                <w:iCs/>
              </w:rPr>
              <w:t>Variance between 2017–18 Target/Estimate and 2017–18 Actual is due to one specific finance service not meeting the service agreement. The service of processing vendor and customer master data requests did not meet the targets for several months due to additional fraud protection controls and checks being added. These resulted in longer processing times. Adjustments to staffing levels to cater for the longer processing times were not made immediately, however QSS has now adjusted workload distribution to ensure the staffing levels are adequate and service agreements have been restored.</w:t>
            </w:r>
            <w:r>
              <w:rPr>
                <w:rFonts w:cs="MetaNormalLF-Italic"/>
                <w:color w:val="403F41"/>
                <w:sz w:val="14"/>
                <w:szCs w:val="14"/>
              </w:rPr>
              <w:t xml:space="preserve"> </w:t>
            </w:r>
          </w:p>
        </w:tc>
        <w:tc>
          <w:tcPr>
            <w:tcW w:w="1246" w:type="dxa"/>
            <w:tcBorders>
              <w:top w:val="nil"/>
            </w:tcBorders>
            <w:vAlign w:val="bottom"/>
          </w:tcPr>
          <w:p w:rsidR="00D32A5E" w:rsidRPr="006C320B" w:rsidRDefault="00D32A5E" w:rsidP="00D32A5E">
            <w:pPr>
              <w:pStyle w:val="TableTextRight"/>
            </w:pPr>
          </w:p>
        </w:tc>
        <w:tc>
          <w:tcPr>
            <w:tcW w:w="1260" w:type="dxa"/>
            <w:tcBorders>
              <w:top w:val="nil"/>
            </w:tcBorders>
            <w:vAlign w:val="bottom"/>
          </w:tcPr>
          <w:p w:rsidR="00D32A5E" w:rsidRDefault="00D32A5E" w:rsidP="00D32A5E">
            <w:pPr>
              <w:pStyle w:val="TableTextRight"/>
            </w:pPr>
          </w:p>
        </w:tc>
      </w:tr>
      <w:tr w:rsidR="00D32A5E" w:rsidRPr="00246DD9" w:rsidTr="00D32A5E">
        <w:tc>
          <w:tcPr>
            <w:tcW w:w="7377" w:type="dxa"/>
            <w:tcBorders>
              <w:bottom w:val="nil"/>
            </w:tcBorders>
          </w:tcPr>
          <w:p w:rsidR="00D32A5E" w:rsidRPr="006C320B" w:rsidRDefault="00D32A5E" w:rsidP="00D32A5E">
            <w:pPr>
              <w:pStyle w:val="TableText"/>
            </w:pPr>
            <w:r w:rsidRPr="00486DA4">
              <w:t>Client satisfaction with Finance Services</w:t>
            </w:r>
          </w:p>
        </w:tc>
        <w:tc>
          <w:tcPr>
            <w:tcW w:w="1246" w:type="dxa"/>
            <w:tcBorders>
              <w:bottom w:val="nil"/>
            </w:tcBorders>
            <w:vAlign w:val="bottom"/>
          </w:tcPr>
          <w:p w:rsidR="00D32A5E" w:rsidRPr="006C320B" w:rsidRDefault="00D32A5E" w:rsidP="00D32A5E">
            <w:pPr>
              <w:pStyle w:val="TableTextRight"/>
            </w:pPr>
            <w:r>
              <w:t>80%</w:t>
            </w:r>
          </w:p>
        </w:tc>
        <w:tc>
          <w:tcPr>
            <w:tcW w:w="1260" w:type="dxa"/>
            <w:tcBorders>
              <w:bottom w:val="nil"/>
            </w:tcBorders>
            <w:vAlign w:val="bottom"/>
          </w:tcPr>
          <w:p w:rsidR="00D32A5E" w:rsidRPr="006C320B" w:rsidRDefault="00D32A5E" w:rsidP="00D32A5E">
            <w:pPr>
              <w:pStyle w:val="TableTextRight"/>
            </w:pPr>
            <w:r>
              <w:t>57%</w:t>
            </w:r>
          </w:p>
        </w:tc>
      </w:tr>
      <w:tr w:rsidR="00D32A5E" w:rsidRPr="00AE6204" w:rsidTr="00D32A5E">
        <w:tc>
          <w:tcPr>
            <w:tcW w:w="7377" w:type="dxa"/>
            <w:tcBorders>
              <w:top w:val="nil"/>
              <w:bottom w:val="single" w:sz="4" w:space="0" w:color="auto"/>
            </w:tcBorders>
          </w:tcPr>
          <w:p w:rsidR="00D32A5E" w:rsidRPr="00DD2A8F" w:rsidRDefault="00DD2A8F" w:rsidP="00DD2A8F">
            <w:pPr>
              <w:pStyle w:val="NoteIndent"/>
              <w:numPr>
                <w:ilvl w:val="0"/>
                <w:numId w:val="0"/>
              </w:numPr>
              <w:rPr>
                <w:rFonts w:ascii="MetaNormalLF-Italic" w:eastAsiaTheme="minorEastAsia" w:hAnsi="MetaNormalLF-Italic" w:cs="MetaNormalLF-Italic"/>
                <w:color w:val="403F41"/>
                <w:sz w:val="14"/>
                <w:szCs w:val="14"/>
              </w:rPr>
            </w:pPr>
            <w:r w:rsidRPr="00DD2A8F">
              <w:rPr>
                <w:rFonts w:ascii="Arial Narrow" w:eastAsia="Arial Narrow" w:hAnsi="Arial Narrow" w:cs="Arial Narrow"/>
                <w:i/>
                <w:iCs/>
              </w:rPr>
              <w:t>The 2017–18 Actual results for Finance Services is below the target of 80% and in 2018–19 QSS will continue to focus on improvements through improved technology and business processes. Based on customer feedback, designing services to make them more streamlined and seamless for end users, is expected to increase customer satisfaction with HR and Finance Services.</w:t>
            </w:r>
            <w:r>
              <w:rPr>
                <w:rFonts w:cs="MetaNormalLF-Italic"/>
                <w:color w:val="403F41"/>
                <w:sz w:val="14"/>
                <w:szCs w:val="14"/>
              </w:rPr>
              <w:t xml:space="preserve"> </w:t>
            </w:r>
          </w:p>
        </w:tc>
        <w:tc>
          <w:tcPr>
            <w:tcW w:w="1246" w:type="dxa"/>
            <w:tcBorders>
              <w:top w:val="nil"/>
              <w:bottom w:val="single" w:sz="4" w:space="0" w:color="auto"/>
            </w:tcBorders>
            <w:vAlign w:val="bottom"/>
          </w:tcPr>
          <w:p w:rsidR="00D32A5E" w:rsidRPr="00AE6204" w:rsidRDefault="00D32A5E" w:rsidP="00D32A5E">
            <w:pPr>
              <w:pStyle w:val="TableText"/>
              <w:rPr>
                <w:rFonts w:ascii="Arial Narrow" w:hAnsi="Arial Narrow"/>
                <w:i/>
                <w:sz w:val="14"/>
                <w:szCs w:val="14"/>
              </w:rPr>
            </w:pPr>
          </w:p>
        </w:tc>
        <w:tc>
          <w:tcPr>
            <w:tcW w:w="1260" w:type="dxa"/>
            <w:tcBorders>
              <w:top w:val="nil"/>
              <w:bottom w:val="single" w:sz="4" w:space="0" w:color="auto"/>
            </w:tcBorders>
            <w:vAlign w:val="bottom"/>
          </w:tcPr>
          <w:p w:rsidR="00D32A5E" w:rsidRPr="00AE6204" w:rsidRDefault="00D32A5E" w:rsidP="00D32A5E">
            <w:pPr>
              <w:pStyle w:val="TableText"/>
              <w:rPr>
                <w:rFonts w:ascii="Arial Narrow" w:hAnsi="Arial Narrow"/>
                <w:i/>
                <w:sz w:val="14"/>
                <w:szCs w:val="14"/>
              </w:rPr>
            </w:pPr>
          </w:p>
        </w:tc>
      </w:tr>
      <w:tr w:rsidR="00D32A5E" w:rsidRPr="002C4058" w:rsidTr="00D32A5E">
        <w:tc>
          <w:tcPr>
            <w:tcW w:w="7377" w:type="dxa"/>
            <w:shd w:val="clear" w:color="auto" w:fill="D9D9D9" w:themeFill="background1" w:themeFillShade="D9"/>
            <w:vAlign w:val="bottom"/>
          </w:tcPr>
          <w:p w:rsidR="00D32A5E" w:rsidRPr="00AF05E5" w:rsidRDefault="00D32A5E" w:rsidP="00D32A5E">
            <w:pPr>
              <w:pStyle w:val="TableTextItalics"/>
              <w:rPr>
                <w:b/>
                <w:bCs/>
              </w:rPr>
            </w:pPr>
            <w:r w:rsidRPr="00AF05E5">
              <w:rPr>
                <w:b/>
                <w:bCs/>
              </w:rPr>
              <w:t>Efficiency measures</w:t>
            </w:r>
          </w:p>
        </w:tc>
        <w:tc>
          <w:tcPr>
            <w:tcW w:w="1246" w:type="dxa"/>
            <w:shd w:val="clear" w:color="auto" w:fill="D9D9D9" w:themeFill="background1" w:themeFillShade="D9"/>
            <w:vAlign w:val="bottom"/>
          </w:tcPr>
          <w:p w:rsidR="00D32A5E" w:rsidRPr="002C4058" w:rsidRDefault="00D32A5E" w:rsidP="00D32A5E">
            <w:pPr>
              <w:pStyle w:val="TableTextRight"/>
              <w:rPr>
                <w:b/>
              </w:rPr>
            </w:pPr>
          </w:p>
        </w:tc>
        <w:tc>
          <w:tcPr>
            <w:tcW w:w="1260" w:type="dxa"/>
            <w:shd w:val="clear" w:color="auto" w:fill="D9D9D9" w:themeFill="background1" w:themeFillShade="D9"/>
            <w:vAlign w:val="bottom"/>
          </w:tcPr>
          <w:p w:rsidR="00D32A5E" w:rsidRPr="002C4058" w:rsidRDefault="00D32A5E" w:rsidP="00D32A5E">
            <w:pPr>
              <w:pStyle w:val="TableTextRight"/>
              <w:rPr>
                <w:b/>
              </w:rPr>
            </w:pPr>
          </w:p>
        </w:tc>
      </w:tr>
      <w:tr w:rsidR="00D32A5E" w:rsidRPr="00246DD9" w:rsidTr="00D32A5E">
        <w:tc>
          <w:tcPr>
            <w:tcW w:w="7377" w:type="dxa"/>
            <w:tcBorders>
              <w:bottom w:val="nil"/>
            </w:tcBorders>
            <w:vAlign w:val="bottom"/>
            <w:hideMark/>
          </w:tcPr>
          <w:p w:rsidR="00D32A5E" w:rsidRPr="006C320B" w:rsidRDefault="00D32A5E" w:rsidP="00D32A5E">
            <w:pPr>
              <w:pStyle w:val="TableText"/>
            </w:pPr>
            <w:r w:rsidRPr="005A5F89">
              <w:t>Number of accounts payable transactions processed per FTE per annum</w:t>
            </w:r>
          </w:p>
        </w:tc>
        <w:tc>
          <w:tcPr>
            <w:tcW w:w="1246" w:type="dxa"/>
            <w:tcBorders>
              <w:bottom w:val="nil"/>
            </w:tcBorders>
            <w:vAlign w:val="bottom"/>
          </w:tcPr>
          <w:p w:rsidR="00D32A5E" w:rsidRPr="006C320B" w:rsidRDefault="00D32A5E" w:rsidP="00D32A5E">
            <w:pPr>
              <w:pStyle w:val="TableTextRight"/>
            </w:pPr>
            <w:r w:rsidRPr="00FB7899">
              <w:t>≥7,500</w:t>
            </w:r>
          </w:p>
        </w:tc>
        <w:tc>
          <w:tcPr>
            <w:tcW w:w="1260" w:type="dxa"/>
            <w:tcBorders>
              <w:bottom w:val="nil"/>
            </w:tcBorders>
            <w:vAlign w:val="bottom"/>
          </w:tcPr>
          <w:p w:rsidR="00D32A5E" w:rsidRPr="006C320B" w:rsidRDefault="00D32A5E" w:rsidP="00D32A5E">
            <w:pPr>
              <w:pStyle w:val="TableTextRight"/>
            </w:pPr>
            <w:r>
              <w:t>9,422</w:t>
            </w:r>
          </w:p>
        </w:tc>
      </w:tr>
      <w:tr w:rsidR="00D32A5E" w:rsidRPr="00AE6204" w:rsidTr="00D32A5E">
        <w:tc>
          <w:tcPr>
            <w:tcW w:w="7377" w:type="dxa"/>
            <w:tcBorders>
              <w:top w:val="nil"/>
            </w:tcBorders>
          </w:tcPr>
          <w:p w:rsidR="00D32A5E" w:rsidRPr="00DD2A8F" w:rsidRDefault="00DD2A8F" w:rsidP="00DD2A8F">
            <w:pPr>
              <w:pStyle w:val="NoteIndent"/>
              <w:numPr>
                <w:ilvl w:val="0"/>
                <w:numId w:val="0"/>
              </w:numPr>
              <w:rPr>
                <w:rFonts w:cs="MetaNormalLF-Italic"/>
                <w:color w:val="403F41"/>
                <w:sz w:val="14"/>
                <w:szCs w:val="14"/>
              </w:rPr>
            </w:pPr>
            <w:r w:rsidRPr="00DD2A8F">
              <w:rPr>
                <w:rFonts w:ascii="Arial Narrow" w:eastAsia="Arial Narrow" w:hAnsi="Arial Narrow" w:cs="Arial Narrow"/>
                <w:i/>
                <w:iCs/>
              </w:rPr>
              <w:t>The increase in 2017–18 Actual result is due to the increased use of electronic workflow and process automation in the accounts payable function.</w:t>
            </w:r>
            <w:r>
              <w:rPr>
                <w:rFonts w:cs="MetaNormalLF-Italic"/>
                <w:color w:val="403F41"/>
                <w:sz w:val="14"/>
                <w:szCs w:val="14"/>
              </w:rPr>
              <w:t xml:space="preserve"> </w:t>
            </w:r>
          </w:p>
        </w:tc>
        <w:tc>
          <w:tcPr>
            <w:tcW w:w="1246" w:type="dxa"/>
            <w:tcBorders>
              <w:top w:val="nil"/>
            </w:tcBorders>
            <w:vAlign w:val="bottom"/>
          </w:tcPr>
          <w:p w:rsidR="00D32A5E" w:rsidRPr="00AE6204" w:rsidRDefault="00D32A5E" w:rsidP="00D32A5E">
            <w:pPr>
              <w:pStyle w:val="TableText"/>
              <w:rPr>
                <w:rFonts w:ascii="Arial Narrow" w:hAnsi="Arial Narrow"/>
                <w:i/>
                <w:sz w:val="14"/>
                <w:szCs w:val="14"/>
              </w:rPr>
            </w:pPr>
          </w:p>
        </w:tc>
        <w:tc>
          <w:tcPr>
            <w:tcW w:w="1260" w:type="dxa"/>
            <w:tcBorders>
              <w:top w:val="nil"/>
            </w:tcBorders>
            <w:vAlign w:val="bottom"/>
          </w:tcPr>
          <w:p w:rsidR="00D32A5E" w:rsidRPr="00AE6204" w:rsidRDefault="00D32A5E" w:rsidP="00D32A5E">
            <w:pPr>
              <w:pStyle w:val="TableText"/>
              <w:rPr>
                <w:rFonts w:ascii="Arial Narrow" w:hAnsi="Arial Narrow"/>
                <w:i/>
                <w:sz w:val="14"/>
                <w:szCs w:val="14"/>
              </w:rPr>
            </w:pPr>
          </w:p>
        </w:tc>
      </w:tr>
    </w:tbl>
    <w:p w:rsidR="00DD2A8F" w:rsidRDefault="00DD2A8F" w:rsidP="00DD2A8F">
      <w:pPr>
        <w:autoSpaceDE w:val="0"/>
        <w:autoSpaceDN w:val="0"/>
        <w:adjustRightInd w:val="0"/>
        <w:spacing w:before="0" w:after="40" w:line="141" w:lineRule="atLeast"/>
        <w:rPr>
          <w:rFonts w:ascii="BUAYPM+MetaNormal-Roman" w:hAnsi="BUAYPM+MetaNormal-Roman" w:cs="BUAYPM+MetaNormal-Roman"/>
          <w:color w:val="403F41"/>
          <w:sz w:val="14"/>
          <w:szCs w:val="14"/>
          <w:lang w:val="en-AU"/>
        </w:rPr>
      </w:pPr>
    </w:p>
    <w:p w:rsidR="00DD2A8F" w:rsidRPr="00DD2A8F" w:rsidRDefault="00DD2A8F" w:rsidP="002275FA">
      <w:pPr>
        <w:pStyle w:val="NoteIndent"/>
        <w:numPr>
          <w:ilvl w:val="0"/>
          <w:numId w:val="0"/>
        </w:numPr>
        <w:rPr>
          <w:rFonts w:ascii="Arial Narrow" w:eastAsia="Arial Narrow" w:hAnsi="Arial Narrow" w:cs="Arial Narrow"/>
          <w:i/>
          <w:iCs/>
        </w:rPr>
      </w:pPr>
      <w:r w:rsidRPr="00DD2A8F">
        <w:rPr>
          <w:rFonts w:ascii="Arial Narrow" w:eastAsia="Arial Narrow" w:hAnsi="Arial Narrow" w:cs="Arial Narrow"/>
          <w:i/>
          <w:iCs/>
        </w:rPr>
        <w:t xml:space="preserve">Notes </w:t>
      </w:r>
    </w:p>
    <w:p w:rsidR="002275FA" w:rsidRDefault="00DD2A8F" w:rsidP="00D806AE">
      <w:pPr>
        <w:pStyle w:val="NoteIndent"/>
        <w:numPr>
          <w:ilvl w:val="0"/>
          <w:numId w:val="105"/>
        </w:numPr>
        <w:rPr>
          <w:rFonts w:ascii="Arial Narrow" w:eastAsia="Arial Narrow" w:hAnsi="Arial Narrow" w:cs="Arial Narrow"/>
          <w:i/>
          <w:iCs/>
        </w:rPr>
      </w:pPr>
      <w:r w:rsidRPr="00DD2A8F">
        <w:rPr>
          <w:rFonts w:ascii="Arial Narrow" w:eastAsia="Arial Narrow" w:hAnsi="Arial Narrow" w:cs="Arial Narrow"/>
          <w:i/>
          <w:iCs/>
        </w:rPr>
        <w:t>This service area was transferred from the (former) Department of Science, Information Technology and Innovation following machinery-of-government changes.</w:t>
      </w:r>
    </w:p>
    <w:p w:rsidR="00321B30" w:rsidRPr="007D4F53" w:rsidRDefault="00321B30" w:rsidP="007D4F53">
      <w:r w:rsidRPr="007D4F53">
        <w:br w:type="page"/>
      </w:r>
    </w:p>
    <w:p w:rsidR="00704D55" w:rsidRDefault="00704D55" w:rsidP="00704D55">
      <w:pPr>
        <w:pStyle w:val="Heading1"/>
      </w:pPr>
      <w:bookmarkStart w:id="50" w:name="_Toc528845972"/>
      <w:r>
        <w:lastRenderedPageBreak/>
        <w:t>Our People</w:t>
      </w:r>
      <w:bookmarkEnd w:id="50"/>
    </w:p>
    <w:p w:rsidR="00704D55" w:rsidRPr="00704D55" w:rsidRDefault="00704D55" w:rsidP="00321B30">
      <w:pPr>
        <w:pStyle w:val="Heading3"/>
      </w:pPr>
      <w:bookmarkStart w:id="51" w:name="WORKFORCE_PROFILE"/>
      <w:r w:rsidRPr="00704D55">
        <w:t>Workforce Profile</w:t>
      </w:r>
    </w:p>
    <w:bookmarkEnd w:id="51"/>
    <w:p w:rsidR="00704D55" w:rsidRPr="00704D55" w:rsidRDefault="00704D55" w:rsidP="00704D55">
      <w:pPr>
        <w:pStyle w:val="Heading6"/>
        <w:rPr>
          <w:rFonts w:eastAsia="MS Mincho"/>
          <w:lang w:val="en-AU"/>
        </w:rPr>
      </w:pPr>
      <w:r w:rsidRPr="00704D55">
        <w:rPr>
          <w:rFonts w:eastAsia="MS Mincho"/>
          <w:lang w:val="en-AU"/>
        </w:rPr>
        <w:t>Staffing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3"/>
        <w:gridCol w:w="1984"/>
      </w:tblGrid>
      <w:tr w:rsidR="00704D55" w:rsidRPr="00704D55" w:rsidTr="00704D55">
        <w:trPr>
          <w:trHeight w:val="60"/>
        </w:trPr>
        <w:tc>
          <w:tcPr>
            <w:tcW w:w="7083" w:type="dxa"/>
            <w:shd w:val="clear" w:color="auto" w:fill="auto"/>
            <w:tcMar>
              <w:top w:w="80" w:type="dxa"/>
              <w:left w:w="80" w:type="dxa"/>
              <w:bottom w:w="80" w:type="dxa"/>
              <w:right w:w="80" w:type="dxa"/>
            </w:tcMar>
          </w:tcPr>
          <w:p w:rsidR="00704D55" w:rsidRPr="00704D55" w:rsidRDefault="00704D55" w:rsidP="00704D55">
            <w:pPr>
              <w:spacing w:after="0"/>
              <w:rPr>
                <w:rFonts w:ascii="Arial" w:eastAsia="Calibri" w:hAnsi="Arial" w:cs="Arial"/>
                <w:b/>
                <w:bCs/>
                <w:lang w:val="en-AU"/>
              </w:rPr>
            </w:pPr>
            <w:r w:rsidRPr="00704D55">
              <w:rPr>
                <w:rFonts w:ascii="Arial" w:eastAsia="Calibri" w:hAnsi="Arial" w:cs="Arial"/>
                <w:b/>
                <w:bCs/>
                <w:szCs w:val="22"/>
                <w:lang w:val="en-AU"/>
              </w:rPr>
              <w:t>Service areas</w:t>
            </w:r>
          </w:p>
        </w:tc>
        <w:tc>
          <w:tcPr>
            <w:tcW w:w="1984" w:type="dxa"/>
            <w:shd w:val="clear" w:color="auto" w:fill="auto"/>
          </w:tcPr>
          <w:p w:rsidR="00704D55" w:rsidRPr="00704D55" w:rsidRDefault="00704D55" w:rsidP="00704D55">
            <w:pPr>
              <w:spacing w:after="0"/>
              <w:rPr>
                <w:rFonts w:ascii="Arial" w:eastAsia="Calibri" w:hAnsi="Arial" w:cs="Arial"/>
                <w:b/>
                <w:bCs/>
                <w:lang w:val="en-AU"/>
              </w:rPr>
            </w:pPr>
            <w:r w:rsidRPr="00704D55">
              <w:rPr>
                <w:rFonts w:ascii="Arial" w:eastAsia="Calibri" w:hAnsi="Arial" w:cs="Arial"/>
                <w:b/>
                <w:bCs/>
                <w:szCs w:val="22"/>
                <w:lang w:val="en-AU"/>
              </w:rPr>
              <w:t>Staffing numbers</w:t>
            </w:r>
            <w:r w:rsidRPr="00704D55">
              <w:rPr>
                <w:rFonts w:ascii="Arial" w:eastAsia="Calibri" w:hAnsi="Arial" w:cs="Arial"/>
                <w:b/>
                <w:bCs/>
                <w:szCs w:val="22"/>
                <w:vertAlign w:val="superscript"/>
                <w:lang w:val="en-AU"/>
              </w:rPr>
              <w:footnoteReference w:id="1"/>
            </w:r>
            <w:r w:rsidRPr="00704D55">
              <w:rPr>
                <w:rFonts w:ascii="Arial" w:eastAsia="Calibri" w:hAnsi="Arial" w:cs="Arial"/>
                <w:b/>
                <w:szCs w:val="22"/>
                <w:lang w:val="en-AU"/>
              </w:rPr>
              <w:br/>
            </w:r>
            <w:r w:rsidRPr="00704D55">
              <w:rPr>
                <w:rFonts w:ascii="Arial" w:eastAsia="Calibri" w:hAnsi="Arial" w:cs="Arial"/>
                <w:b/>
                <w:bCs/>
                <w:szCs w:val="22"/>
                <w:lang w:val="en-AU"/>
              </w:rPr>
              <w:t>30 June 2018</w:t>
            </w:r>
          </w:p>
        </w:tc>
      </w:tr>
      <w:tr w:rsidR="00704D55" w:rsidRPr="00704D55" w:rsidTr="005F7F92">
        <w:trPr>
          <w:trHeight w:val="60"/>
        </w:trPr>
        <w:tc>
          <w:tcPr>
            <w:tcW w:w="70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704D55" w:rsidRPr="00704D55" w:rsidRDefault="00704D55" w:rsidP="00704D55">
            <w:pPr>
              <w:spacing w:after="0"/>
              <w:rPr>
                <w:rFonts w:ascii="Arial" w:eastAsia="Calibri" w:hAnsi="Arial" w:cs="Arial"/>
                <w:lang w:val="en-AU"/>
              </w:rPr>
            </w:pPr>
            <w:r w:rsidRPr="00704D55">
              <w:rPr>
                <w:rFonts w:ascii="Arial" w:eastAsia="Calibri" w:hAnsi="Arial" w:cs="Arial"/>
                <w:szCs w:val="22"/>
                <w:lang w:val="en-AU"/>
              </w:rPr>
              <w:t>Housing and Homelessness Services</w:t>
            </w:r>
          </w:p>
        </w:tc>
        <w:tc>
          <w:tcPr>
            <w:tcW w:w="1984" w:type="dxa"/>
            <w:tcBorders>
              <w:top w:val="single" w:sz="4" w:space="0" w:color="auto"/>
              <w:left w:val="single" w:sz="4" w:space="0" w:color="auto"/>
              <w:bottom w:val="single" w:sz="4" w:space="0" w:color="auto"/>
              <w:right w:val="single" w:sz="4" w:space="0" w:color="auto"/>
            </w:tcBorders>
            <w:vAlign w:val="center"/>
          </w:tcPr>
          <w:p w:rsidR="00704D55" w:rsidRPr="00704D55" w:rsidRDefault="00704D55" w:rsidP="00704D55">
            <w:pPr>
              <w:ind w:right="130"/>
              <w:jc w:val="right"/>
              <w:rPr>
                <w:rFonts w:ascii="Arial" w:eastAsia="Calibri" w:hAnsi="Arial" w:cs="Arial"/>
                <w:lang w:val="en-AU"/>
              </w:rPr>
            </w:pPr>
            <w:r w:rsidRPr="00704D55">
              <w:rPr>
                <w:rFonts w:ascii="Arial" w:eastAsia="Calibri" w:hAnsi="Arial" w:cs="Arial"/>
                <w:szCs w:val="22"/>
                <w:lang w:val="en-AU"/>
              </w:rPr>
              <w:t>1,173.3</w:t>
            </w:r>
          </w:p>
        </w:tc>
      </w:tr>
      <w:tr w:rsidR="00704D55" w:rsidRPr="00704D55" w:rsidTr="005F7F92">
        <w:trPr>
          <w:trHeight w:val="60"/>
        </w:trPr>
        <w:tc>
          <w:tcPr>
            <w:tcW w:w="70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704D55" w:rsidRPr="00704D55" w:rsidRDefault="00704D55" w:rsidP="00704D55">
            <w:pPr>
              <w:spacing w:after="0"/>
              <w:rPr>
                <w:rFonts w:ascii="Arial" w:eastAsia="Calibri" w:hAnsi="Arial" w:cs="Arial"/>
                <w:lang w:val="en-AU"/>
              </w:rPr>
            </w:pPr>
            <w:r w:rsidRPr="00704D55">
              <w:rPr>
                <w:rFonts w:ascii="Arial" w:eastAsia="Calibri" w:hAnsi="Arial" w:cs="Arial"/>
                <w:szCs w:val="22"/>
                <w:lang w:val="en-AU"/>
              </w:rPr>
              <w:t>Building Industry and Policy</w:t>
            </w:r>
          </w:p>
        </w:tc>
        <w:tc>
          <w:tcPr>
            <w:tcW w:w="1984" w:type="dxa"/>
            <w:tcBorders>
              <w:top w:val="single" w:sz="4" w:space="0" w:color="auto"/>
              <w:left w:val="single" w:sz="4" w:space="0" w:color="auto"/>
              <w:bottom w:val="single" w:sz="4" w:space="0" w:color="auto"/>
              <w:right w:val="single" w:sz="4" w:space="0" w:color="auto"/>
            </w:tcBorders>
            <w:vAlign w:val="center"/>
          </w:tcPr>
          <w:p w:rsidR="00704D55" w:rsidRPr="00704D55" w:rsidRDefault="00704D55" w:rsidP="00704D55">
            <w:pPr>
              <w:ind w:right="130"/>
              <w:jc w:val="right"/>
              <w:rPr>
                <w:rFonts w:ascii="Arial" w:eastAsia="Calibri" w:hAnsi="Arial" w:cs="Arial"/>
                <w:lang w:val="en-AU"/>
              </w:rPr>
            </w:pPr>
            <w:r w:rsidRPr="00704D55">
              <w:rPr>
                <w:rFonts w:ascii="Arial" w:eastAsia="Calibri" w:hAnsi="Arial" w:cs="Arial"/>
                <w:szCs w:val="22"/>
                <w:lang w:val="en-AU"/>
              </w:rPr>
              <w:t>88.1</w:t>
            </w:r>
          </w:p>
        </w:tc>
      </w:tr>
      <w:tr w:rsidR="00704D55" w:rsidRPr="00704D55" w:rsidTr="005F7F92">
        <w:trPr>
          <w:trHeight w:val="60"/>
        </w:trPr>
        <w:tc>
          <w:tcPr>
            <w:tcW w:w="70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704D55" w:rsidRPr="00704D55" w:rsidRDefault="00704D55" w:rsidP="00704D55">
            <w:pPr>
              <w:spacing w:after="0"/>
              <w:rPr>
                <w:rFonts w:ascii="Arial" w:eastAsia="Calibri" w:hAnsi="Arial" w:cs="Arial"/>
                <w:lang w:val="en-AU"/>
              </w:rPr>
            </w:pPr>
            <w:r w:rsidRPr="00704D55">
              <w:rPr>
                <w:rFonts w:ascii="Arial" w:eastAsia="Calibri" w:hAnsi="Arial" w:cs="Arial"/>
                <w:szCs w:val="22"/>
                <w:lang w:val="en-AU"/>
              </w:rPr>
              <w:t>Public Works and Asset Management</w:t>
            </w:r>
          </w:p>
        </w:tc>
        <w:tc>
          <w:tcPr>
            <w:tcW w:w="1984" w:type="dxa"/>
            <w:tcBorders>
              <w:top w:val="single" w:sz="4" w:space="0" w:color="auto"/>
              <w:left w:val="single" w:sz="4" w:space="0" w:color="auto"/>
              <w:bottom w:val="single" w:sz="4" w:space="0" w:color="auto"/>
              <w:right w:val="single" w:sz="4" w:space="0" w:color="auto"/>
            </w:tcBorders>
            <w:vAlign w:val="center"/>
          </w:tcPr>
          <w:p w:rsidR="00704D55" w:rsidRPr="00704D55" w:rsidDel="1BDB80A1" w:rsidRDefault="00704D55" w:rsidP="00704D55">
            <w:pPr>
              <w:ind w:right="130"/>
              <w:jc w:val="right"/>
              <w:rPr>
                <w:rFonts w:ascii="Arial" w:eastAsia="Calibri" w:hAnsi="Arial" w:cs="Arial"/>
                <w:lang w:val="en-AU"/>
              </w:rPr>
            </w:pPr>
            <w:r w:rsidRPr="00704D55">
              <w:rPr>
                <w:rFonts w:ascii="Arial" w:eastAsia="Calibri" w:hAnsi="Arial" w:cs="Arial"/>
                <w:szCs w:val="22"/>
                <w:lang w:val="en-AU"/>
              </w:rPr>
              <w:t>1,172.1</w:t>
            </w:r>
          </w:p>
        </w:tc>
      </w:tr>
      <w:tr w:rsidR="00704D55" w:rsidRPr="00704D55" w:rsidTr="005F7F92">
        <w:trPr>
          <w:trHeight w:val="60"/>
        </w:trPr>
        <w:tc>
          <w:tcPr>
            <w:tcW w:w="70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704D55" w:rsidRPr="00704D55" w:rsidRDefault="00704D55" w:rsidP="00704D55">
            <w:pPr>
              <w:spacing w:after="0"/>
              <w:rPr>
                <w:rFonts w:ascii="Arial" w:eastAsia="Calibri" w:hAnsi="Arial" w:cs="Arial"/>
                <w:lang w:val="en-AU"/>
              </w:rPr>
            </w:pPr>
            <w:r w:rsidRPr="00704D55">
              <w:rPr>
                <w:rFonts w:ascii="Arial" w:eastAsia="Calibri" w:hAnsi="Arial" w:cs="Arial"/>
                <w:szCs w:val="22"/>
                <w:lang w:val="en-AU"/>
              </w:rPr>
              <w:t>Queensland Government Procurement</w:t>
            </w:r>
          </w:p>
        </w:tc>
        <w:tc>
          <w:tcPr>
            <w:tcW w:w="1984" w:type="dxa"/>
            <w:tcBorders>
              <w:top w:val="single" w:sz="4" w:space="0" w:color="auto"/>
              <w:left w:val="single" w:sz="4" w:space="0" w:color="auto"/>
              <w:bottom w:val="single" w:sz="4" w:space="0" w:color="auto"/>
              <w:right w:val="single" w:sz="4" w:space="0" w:color="auto"/>
            </w:tcBorders>
            <w:vAlign w:val="center"/>
          </w:tcPr>
          <w:p w:rsidR="00704D55" w:rsidRPr="00704D55" w:rsidRDefault="00704D55" w:rsidP="00704D55">
            <w:pPr>
              <w:ind w:right="130"/>
              <w:jc w:val="right"/>
              <w:rPr>
                <w:rFonts w:ascii="Arial" w:eastAsia="Calibri" w:hAnsi="Arial" w:cs="Arial"/>
                <w:lang w:val="en-AU"/>
              </w:rPr>
            </w:pPr>
            <w:r w:rsidRPr="00704D55">
              <w:rPr>
                <w:rFonts w:ascii="Arial" w:eastAsia="Calibri" w:hAnsi="Arial" w:cs="Arial"/>
                <w:szCs w:val="22"/>
                <w:lang w:val="en-AU"/>
              </w:rPr>
              <w:t>93.4</w:t>
            </w:r>
          </w:p>
        </w:tc>
      </w:tr>
      <w:tr w:rsidR="00704D55" w:rsidRPr="00704D55" w:rsidTr="005F7F92">
        <w:trPr>
          <w:trHeight w:val="60"/>
        </w:trPr>
        <w:tc>
          <w:tcPr>
            <w:tcW w:w="70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704D55" w:rsidRPr="00704D55" w:rsidRDefault="00704D55" w:rsidP="00704D55">
            <w:pPr>
              <w:spacing w:after="0"/>
              <w:rPr>
                <w:rFonts w:ascii="Arial" w:eastAsia="Calibri" w:hAnsi="Arial" w:cs="Arial"/>
                <w:lang w:val="en-AU"/>
              </w:rPr>
            </w:pPr>
            <w:r w:rsidRPr="00704D55">
              <w:rPr>
                <w:rFonts w:ascii="Arial" w:eastAsia="Calibri" w:hAnsi="Arial" w:cs="Arial"/>
                <w:szCs w:val="22"/>
                <w:lang w:val="en-AU"/>
              </w:rPr>
              <w:t>Sport and Recreation Services</w:t>
            </w:r>
          </w:p>
        </w:tc>
        <w:tc>
          <w:tcPr>
            <w:tcW w:w="1984" w:type="dxa"/>
            <w:tcBorders>
              <w:top w:val="single" w:sz="4" w:space="0" w:color="auto"/>
              <w:left w:val="single" w:sz="4" w:space="0" w:color="auto"/>
              <w:bottom w:val="single" w:sz="4" w:space="0" w:color="auto"/>
              <w:right w:val="single" w:sz="4" w:space="0" w:color="auto"/>
            </w:tcBorders>
            <w:vAlign w:val="center"/>
          </w:tcPr>
          <w:p w:rsidR="00704D55" w:rsidRPr="00704D55" w:rsidRDefault="00704D55" w:rsidP="00704D55">
            <w:pPr>
              <w:ind w:right="130"/>
              <w:jc w:val="right"/>
              <w:rPr>
                <w:rFonts w:ascii="Arial" w:eastAsia="Calibri" w:hAnsi="Arial" w:cs="Arial"/>
                <w:lang w:val="en-AU"/>
              </w:rPr>
            </w:pPr>
            <w:r w:rsidRPr="00704D55">
              <w:rPr>
                <w:rFonts w:ascii="Arial" w:eastAsia="Calibri" w:hAnsi="Arial" w:cs="Arial"/>
                <w:szCs w:val="22"/>
                <w:lang w:val="en-AU"/>
              </w:rPr>
              <w:t>252.3</w:t>
            </w:r>
          </w:p>
        </w:tc>
      </w:tr>
      <w:tr w:rsidR="00704D55" w:rsidRPr="00704D55" w:rsidTr="005F7F92">
        <w:trPr>
          <w:trHeight w:val="60"/>
        </w:trPr>
        <w:tc>
          <w:tcPr>
            <w:tcW w:w="70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704D55" w:rsidRPr="00704D55" w:rsidRDefault="00704D55" w:rsidP="00704D55">
            <w:pPr>
              <w:spacing w:after="0"/>
              <w:rPr>
                <w:rFonts w:ascii="Arial" w:eastAsia="Calibri" w:hAnsi="Arial" w:cs="Arial"/>
                <w:lang w:val="en-AU"/>
              </w:rPr>
            </w:pPr>
            <w:r w:rsidRPr="00704D55">
              <w:rPr>
                <w:rFonts w:ascii="Arial" w:eastAsia="Calibri" w:hAnsi="Arial" w:cs="Arial"/>
                <w:szCs w:val="22"/>
                <w:lang w:val="en-AU"/>
              </w:rPr>
              <w:t>Digital Capability, Information and Transaction Based Services</w:t>
            </w:r>
          </w:p>
        </w:tc>
        <w:tc>
          <w:tcPr>
            <w:tcW w:w="1984" w:type="dxa"/>
            <w:tcBorders>
              <w:top w:val="single" w:sz="4" w:space="0" w:color="auto"/>
              <w:left w:val="single" w:sz="4" w:space="0" w:color="auto"/>
              <w:bottom w:val="single" w:sz="4" w:space="0" w:color="auto"/>
              <w:right w:val="single" w:sz="4" w:space="0" w:color="auto"/>
            </w:tcBorders>
            <w:vAlign w:val="center"/>
          </w:tcPr>
          <w:p w:rsidR="00704D55" w:rsidRPr="00704D55" w:rsidRDefault="00704D55" w:rsidP="00704D55">
            <w:pPr>
              <w:ind w:right="130"/>
              <w:jc w:val="right"/>
              <w:rPr>
                <w:rFonts w:ascii="Arial" w:eastAsia="Calibri" w:hAnsi="Arial" w:cs="Arial"/>
                <w:lang w:val="en-AU"/>
              </w:rPr>
            </w:pPr>
            <w:r w:rsidRPr="00704D55">
              <w:rPr>
                <w:rFonts w:ascii="Arial" w:eastAsia="Calibri" w:hAnsi="Arial" w:cs="Arial"/>
                <w:szCs w:val="22"/>
                <w:lang w:val="en-AU"/>
              </w:rPr>
              <w:t>576.8</w:t>
            </w:r>
          </w:p>
        </w:tc>
      </w:tr>
      <w:tr w:rsidR="00704D55" w:rsidRPr="00704D55" w:rsidTr="005F7F92">
        <w:trPr>
          <w:trHeight w:val="60"/>
        </w:trPr>
        <w:tc>
          <w:tcPr>
            <w:tcW w:w="70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704D55" w:rsidRPr="00704D55" w:rsidRDefault="00704D55" w:rsidP="00704D55">
            <w:pPr>
              <w:spacing w:after="0"/>
              <w:rPr>
                <w:rFonts w:ascii="Arial" w:eastAsia="Calibri" w:hAnsi="Arial" w:cs="Arial"/>
                <w:lang w:val="en-AU"/>
              </w:rPr>
            </w:pPr>
            <w:r w:rsidRPr="00704D55">
              <w:rPr>
                <w:rFonts w:ascii="Arial" w:eastAsia="Calibri" w:hAnsi="Arial" w:cs="Arial"/>
                <w:szCs w:val="22"/>
                <w:lang w:val="en-AU"/>
              </w:rPr>
              <w:t>Queensland Shared Services</w:t>
            </w:r>
          </w:p>
        </w:tc>
        <w:tc>
          <w:tcPr>
            <w:tcW w:w="1984" w:type="dxa"/>
            <w:tcBorders>
              <w:top w:val="single" w:sz="4" w:space="0" w:color="auto"/>
              <w:left w:val="single" w:sz="4" w:space="0" w:color="auto"/>
              <w:bottom w:val="single" w:sz="4" w:space="0" w:color="auto"/>
              <w:right w:val="single" w:sz="4" w:space="0" w:color="auto"/>
            </w:tcBorders>
            <w:vAlign w:val="center"/>
          </w:tcPr>
          <w:p w:rsidR="00704D55" w:rsidRPr="00704D55" w:rsidRDefault="00704D55" w:rsidP="00704D55">
            <w:pPr>
              <w:ind w:right="130"/>
              <w:jc w:val="right"/>
              <w:rPr>
                <w:rFonts w:ascii="Arial" w:eastAsia="Calibri" w:hAnsi="Arial" w:cs="Arial"/>
                <w:lang w:val="en-AU"/>
              </w:rPr>
            </w:pPr>
            <w:r w:rsidRPr="00704D55">
              <w:rPr>
                <w:rFonts w:ascii="Arial" w:eastAsia="Calibri" w:hAnsi="Arial" w:cs="Arial"/>
                <w:szCs w:val="22"/>
                <w:lang w:val="en-AU"/>
              </w:rPr>
              <w:t>929.9</w:t>
            </w:r>
          </w:p>
        </w:tc>
      </w:tr>
      <w:tr w:rsidR="00704D55" w:rsidRPr="00704D55" w:rsidTr="005F7F92">
        <w:trPr>
          <w:trHeight w:val="60"/>
        </w:trPr>
        <w:tc>
          <w:tcPr>
            <w:tcW w:w="70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704D55" w:rsidRPr="00704D55" w:rsidRDefault="00704D55" w:rsidP="00704D55">
            <w:pPr>
              <w:spacing w:after="0"/>
              <w:rPr>
                <w:rFonts w:ascii="Arial" w:eastAsia="Calibri" w:hAnsi="Arial" w:cs="Arial"/>
                <w:lang w:val="en-AU"/>
              </w:rPr>
            </w:pPr>
            <w:r w:rsidRPr="00704D55">
              <w:rPr>
                <w:rFonts w:ascii="Arial" w:eastAsia="Calibri" w:hAnsi="Arial" w:cs="Arial"/>
                <w:szCs w:val="22"/>
                <w:lang w:val="en-AU"/>
              </w:rPr>
              <w:t>Strategic ICT</w:t>
            </w:r>
          </w:p>
        </w:tc>
        <w:tc>
          <w:tcPr>
            <w:tcW w:w="1984" w:type="dxa"/>
            <w:tcBorders>
              <w:top w:val="single" w:sz="4" w:space="0" w:color="auto"/>
              <w:left w:val="single" w:sz="4" w:space="0" w:color="auto"/>
              <w:bottom w:val="single" w:sz="4" w:space="0" w:color="auto"/>
              <w:right w:val="single" w:sz="4" w:space="0" w:color="auto"/>
            </w:tcBorders>
            <w:vAlign w:val="center"/>
          </w:tcPr>
          <w:p w:rsidR="00704D55" w:rsidRPr="00704D55" w:rsidRDefault="00704D55" w:rsidP="00704D55">
            <w:pPr>
              <w:ind w:right="130"/>
              <w:jc w:val="right"/>
              <w:rPr>
                <w:rFonts w:ascii="Arial" w:eastAsia="Calibri" w:hAnsi="Arial" w:cs="Arial"/>
                <w:lang w:val="en-AU"/>
              </w:rPr>
            </w:pPr>
            <w:r w:rsidRPr="00704D55">
              <w:rPr>
                <w:rFonts w:ascii="Arial" w:eastAsia="Calibri" w:hAnsi="Arial" w:cs="Arial"/>
                <w:szCs w:val="22"/>
                <w:lang w:val="en-AU"/>
              </w:rPr>
              <w:t>366.8</w:t>
            </w:r>
          </w:p>
        </w:tc>
      </w:tr>
      <w:tr w:rsidR="00704D55" w:rsidRPr="00704D55" w:rsidTr="005F7F92">
        <w:trPr>
          <w:trHeight w:val="60"/>
        </w:trPr>
        <w:tc>
          <w:tcPr>
            <w:tcW w:w="70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704D55" w:rsidRPr="00704D55" w:rsidRDefault="00704D55" w:rsidP="00704D55">
            <w:pPr>
              <w:spacing w:after="0"/>
              <w:rPr>
                <w:rFonts w:ascii="Arial" w:eastAsia="Calibri" w:hAnsi="Arial" w:cs="Arial"/>
                <w:lang w:val="en-AU"/>
              </w:rPr>
            </w:pPr>
            <w:r w:rsidRPr="00704D55">
              <w:rPr>
                <w:rFonts w:ascii="Arial" w:eastAsia="Calibri" w:hAnsi="Arial" w:cs="Arial"/>
                <w:szCs w:val="22"/>
                <w:lang w:val="en-AU"/>
              </w:rPr>
              <w:t>Queensland Government Chief Information Office</w:t>
            </w:r>
          </w:p>
        </w:tc>
        <w:tc>
          <w:tcPr>
            <w:tcW w:w="1984" w:type="dxa"/>
            <w:tcBorders>
              <w:top w:val="single" w:sz="4" w:space="0" w:color="auto"/>
              <w:left w:val="single" w:sz="4" w:space="0" w:color="auto"/>
              <w:bottom w:val="single" w:sz="4" w:space="0" w:color="auto"/>
              <w:right w:val="single" w:sz="4" w:space="0" w:color="auto"/>
            </w:tcBorders>
            <w:vAlign w:val="center"/>
          </w:tcPr>
          <w:p w:rsidR="00704D55" w:rsidRPr="00704D55" w:rsidRDefault="00704D55" w:rsidP="00704D55">
            <w:pPr>
              <w:ind w:right="130"/>
              <w:jc w:val="right"/>
              <w:rPr>
                <w:rFonts w:ascii="Arial" w:eastAsia="Calibri" w:hAnsi="Arial" w:cs="Arial"/>
                <w:lang w:val="en-AU"/>
              </w:rPr>
            </w:pPr>
            <w:r w:rsidRPr="00704D55">
              <w:rPr>
                <w:rFonts w:ascii="Arial" w:eastAsia="Calibri" w:hAnsi="Arial" w:cs="Arial"/>
                <w:szCs w:val="22"/>
                <w:lang w:val="en-AU"/>
              </w:rPr>
              <w:t>52.5</w:t>
            </w:r>
          </w:p>
        </w:tc>
      </w:tr>
      <w:tr w:rsidR="00704D55" w:rsidRPr="00704D55" w:rsidTr="005F7F92">
        <w:trPr>
          <w:trHeight w:val="60"/>
        </w:trPr>
        <w:tc>
          <w:tcPr>
            <w:tcW w:w="70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704D55" w:rsidRPr="00704D55" w:rsidRDefault="00704D55" w:rsidP="00704D55">
            <w:pPr>
              <w:spacing w:after="0"/>
              <w:rPr>
                <w:rFonts w:ascii="Arial" w:eastAsia="Calibri" w:hAnsi="Arial" w:cs="Arial"/>
                <w:lang w:val="en-AU"/>
              </w:rPr>
            </w:pPr>
            <w:r w:rsidRPr="00704D55">
              <w:rPr>
                <w:rFonts w:ascii="Arial" w:eastAsia="Calibri" w:hAnsi="Arial" w:cs="Arial"/>
                <w:szCs w:val="22"/>
                <w:lang w:val="en-AU"/>
              </w:rPr>
              <w:t>Corporate Services</w:t>
            </w:r>
          </w:p>
        </w:tc>
        <w:tc>
          <w:tcPr>
            <w:tcW w:w="1984" w:type="dxa"/>
            <w:tcBorders>
              <w:top w:val="single" w:sz="4" w:space="0" w:color="auto"/>
              <w:left w:val="single" w:sz="4" w:space="0" w:color="auto"/>
              <w:bottom w:val="single" w:sz="4" w:space="0" w:color="auto"/>
              <w:right w:val="single" w:sz="4" w:space="0" w:color="auto"/>
            </w:tcBorders>
            <w:vAlign w:val="center"/>
          </w:tcPr>
          <w:p w:rsidR="00704D55" w:rsidRPr="00704D55" w:rsidRDefault="00704D55" w:rsidP="00704D55">
            <w:pPr>
              <w:ind w:right="130"/>
              <w:jc w:val="right"/>
              <w:rPr>
                <w:rFonts w:ascii="Arial" w:eastAsia="Calibri" w:hAnsi="Arial" w:cs="Arial"/>
                <w:lang w:val="en-AU"/>
              </w:rPr>
            </w:pPr>
            <w:r w:rsidRPr="00704D55">
              <w:rPr>
                <w:rFonts w:ascii="Arial" w:eastAsia="Calibri" w:hAnsi="Arial" w:cs="Arial"/>
                <w:szCs w:val="22"/>
                <w:lang w:val="en-AU"/>
              </w:rPr>
              <w:t>580.5</w:t>
            </w:r>
          </w:p>
        </w:tc>
      </w:tr>
      <w:tr w:rsidR="00704D55" w:rsidRPr="00704D55" w:rsidTr="005F7F92">
        <w:trPr>
          <w:trHeight w:val="60"/>
        </w:trPr>
        <w:tc>
          <w:tcPr>
            <w:tcW w:w="708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704D55" w:rsidRPr="00704D55" w:rsidRDefault="00704D55" w:rsidP="00704D55">
            <w:pPr>
              <w:spacing w:after="0"/>
              <w:rPr>
                <w:rFonts w:ascii="Arial" w:eastAsia="Calibri" w:hAnsi="Arial" w:cs="Arial"/>
                <w:b/>
                <w:bCs/>
                <w:lang w:val="en-AU"/>
              </w:rPr>
            </w:pPr>
            <w:r w:rsidRPr="00704D55">
              <w:rPr>
                <w:rFonts w:ascii="Arial" w:eastAsia="Calibri" w:hAnsi="Arial" w:cs="Arial"/>
                <w:b/>
                <w:bCs/>
                <w:szCs w:val="22"/>
                <w:lang w:val="en-AU"/>
              </w:rPr>
              <w:t>Total</w:t>
            </w:r>
          </w:p>
        </w:tc>
        <w:tc>
          <w:tcPr>
            <w:tcW w:w="1984" w:type="dxa"/>
            <w:tcBorders>
              <w:top w:val="single" w:sz="4" w:space="0" w:color="auto"/>
              <w:left w:val="single" w:sz="4" w:space="0" w:color="auto"/>
              <w:bottom w:val="single" w:sz="4" w:space="0" w:color="auto"/>
              <w:right w:val="single" w:sz="4" w:space="0" w:color="auto"/>
            </w:tcBorders>
            <w:vAlign w:val="center"/>
          </w:tcPr>
          <w:p w:rsidR="00704D55" w:rsidRPr="00704D55" w:rsidRDefault="00704D55" w:rsidP="00704D55">
            <w:pPr>
              <w:ind w:right="130"/>
              <w:jc w:val="right"/>
              <w:rPr>
                <w:rFonts w:ascii="Arial" w:eastAsia="Calibri" w:hAnsi="Arial" w:cs="Arial"/>
                <w:lang w:val="en-AU"/>
              </w:rPr>
            </w:pPr>
            <w:r w:rsidRPr="00704D55">
              <w:rPr>
                <w:rFonts w:ascii="Arial" w:eastAsia="Calibri" w:hAnsi="Arial" w:cs="Arial"/>
                <w:szCs w:val="22"/>
                <w:lang w:val="en-AU"/>
              </w:rPr>
              <w:t>5,285.7</w:t>
            </w:r>
          </w:p>
        </w:tc>
      </w:tr>
    </w:tbl>
    <w:p w:rsidR="00704D55" w:rsidRDefault="00704D55" w:rsidP="00704D55">
      <w:pPr>
        <w:rPr>
          <w:rFonts w:ascii="Arial" w:eastAsia="Calibri" w:hAnsi="Arial" w:cs="Arial"/>
          <w:szCs w:val="22"/>
          <w:lang w:val="en-AU"/>
        </w:rPr>
      </w:pPr>
    </w:p>
    <w:p w:rsidR="00704D55" w:rsidRDefault="00704D55" w:rsidP="00704D55">
      <w:pPr>
        <w:rPr>
          <w:rFonts w:ascii="Arial" w:eastAsia="Calibri" w:hAnsi="Arial" w:cs="Arial"/>
          <w:szCs w:val="22"/>
          <w:lang w:val="en-AU"/>
        </w:rPr>
      </w:pPr>
      <w:r w:rsidRPr="00704D55">
        <w:rPr>
          <w:rFonts w:ascii="Arial" w:eastAsia="Calibri" w:hAnsi="Arial" w:cs="Arial"/>
          <w:szCs w:val="22"/>
          <w:lang w:val="en-AU"/>
        </w:rPr>
        <w:t>Due to the impact of machinery-of-government changes,</w:t>
      </w:r>
      <w:r>
        <w:rPr>
          <w:rFonts w:ascii="Arial" w:eastAsia="Calibri" w:hAnsi="Arial" w:cs="Arial"/>
          <w:szCs w:val="22"/>
          <w:lang w:val="en-AU"/>
        </w:rPr>
        <w:t xml:space="preserve"> </w:t>
      </w:r>
      <w:r w:rsidRPr="00704D55">
        <w:rPr>
          <w:rFonts w:ascii="Arial" w:eastAsia="Calibri" w:hAnsi="Arial" w:cs="Arial"/>
          <w:szCs w:val="22"/>
          <w:lang w:val="en-AU"/>
        </w:rPr>
        <w:t xml:space="preserve">a </w:t>
      </w:r>
      <w:bookmarkStart w:id="52" w:name="SEPARATION"/>
      <w:r w:rsidRPr="00704D55">
        <w:rPr>
          <w:rFonts w:ascii="Arial" w:eastAsia="Calibri" w:hAnsi="Arial" w:cs="Arial"/>
          <w:szCs w:val="22"/>
          <w:lang w:val="en-AU"/>
        </w:rPr>
        <w:t xml:space="preserve">separation </w:t>
      </w:r>
      <w:bookmarkEnd w:id="52"/>
      <w:r w:rsidRPr="00704D55">
        <w:rPr>
          <w:rFonts w:ascii="Arial" w:eastAsia="Calibri" w:hAnsi="Arial" w:cs="Arial"/>
          <w:szCs w:val="22"/>
          <w:lang w:val="en-AU"/>
        </w:rPr>
        <w:t>rate is not able to be calculated for the</w:t>
      </w:r>
      <w:r>
        <w:rPr>
          <w:rFonts w:ascii="Arial" w:eastAsia="Calibri" w:hAnsi="Arial" w:cs="Arial"/>
          <w:szCs w:val="22"/>
          <w:lang w:val="en-AU"/>
        </w:rPr>
        <w:t xml:space="preserve"> </w:t>
      </w:r>
      <w:r w:rsidRPr="00704D55">
        <w:rPr>
          <w:rFonts w:ascii="Arial" w:eastAsia="Calibri" w:hAnsi="Arial" w:cs="Arial"/>
          <w:szCs w:val="22"/>
          <w:lang w:val="en-AU"/>
        </w:rPr>
        <w:t>2017—18 report.</w:t>
      </w:r>
    </w:p>
    <w:p w:rsidR="00704D55" w:rsidRDefault="00704D55" w:rsidP="00704D55">
      <w:pPr>
        <w:rPr>
          <w:rFonts w:ascii="Arial" w:eastAsia="Calibri" w:hAnsi="Arial" w:cs="Arial"/>
          <w:b/>
          <w:bCs/>
          <w:szCs w:val="22"/>
          <w:lang w:val="en-AU"/>
        </w:rPr>
      </w:pPr>
    </w:p>
    <w:p w:rsidR="005D7744" w:rsidRDefault="005D7744">
      <w:pPr>
        <w:spacing w:before="0" w:after="0"/>
        <w:rPr>
          <w:rFonts w:ascii="Arial" w:eastAsia="Calibri" w:hAnsi="Arial" w:cs="Arial"/>
          <w:b/>
          <w:bCs/>
          <w:szCs w:val="22"/>
          <w:lang w:val="en-AU"/>
        </w:rPr>
      </w:pPr>
      <w:r>
        <w:rPr>
          <w:rFonts w:ascii="Arial" w:eastAsia="Calibri" w:hAnsi="Arial" w:cs="Arial"/>
          <w:b/>
          <w:bCs/>
          <w:szCs w:val="22"/>
          <w:lang w:val="en-AU"/>
        </w:rPr>
        <w:br w:type="page"/>
      </w:r>
    </w:p>
    <w:p w:rsidR="00704D55" w:rsidRPr="00704D55" w:rsidRDefault="00704D55" w:rsidP="00704D55">
      <w:pPr>
        <w:rPr>
          <w:rFonts w:ascii="Arial" w:eastAsia="Calibri" w:hAnsi="Arial" w:cs="Arial"/>
          <w:b/>
          <w:szCs w:val="22"/>
          <w:lang w:val="en-AU"/>
        </w:rPr>
      </w:pPr>
      <w:r w:rsidRPr="00704D55">
        <w:rPr>
          <w:rFonts w:ascii="Arial" w:eastAsia="Calibri" w:hAnsi="Arial" w:cs="Arial"/>
          <w:b/>
          <w:bCs/>
          <w:szCs w:val="22"/>
          <w:lang w:val="en-AU"/>
        </w:rPr>
        <w:lastRenderedPageBreak/>
        <w:t>Equity statistics as at 30 June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56"/>
        <w:gridCol w:w="3242"/>
        <w:gridCol w:w="3242"/>
      </w:tblGrid>
      <w:tr w:rsidR="00704D55" w:rsidRPr="00704D55" w:rsidTr="00704D55">
        <w:trPr>
          <w:trHeight w:val="60"/>
        </w:trPr>
        <w:tc>
          <w:tcPr>
            <w:tcW w:w="1671" w:type="pct"/>
            <w:shd w:val="clear" w:color="auto" w:fill="auto"/>
            <w:tcMar>
              <w:top w:w="80" w:type="dxa"/>
              <w:left w:w="80" w:type="dxa"/>
              <w:bottom w:w="80" w:type="dxa"/>
              <w:right w:w="80" w:type="dxa"/>
            </w:tcMar>
          </w:tcPr>
          <w:p w:rsidR="00704D55" w:rsidRPr="00704D55" w:rsidRDefault="00704D55" w:rsidP="00704D55">
            <w:pPr>
              <w:spacing w:after="0"/>
              <w:rPr>
                <w:rFonts w:ascii="Arial" w:eastAsia="Calibri" w:hAnsi="Arial" w:cs="Arial"/>
                <w:b/>
                <w:bCs/>
                <w:lang w:val="en-AU"/>
              </w:rPr>
            </w:pPr>
            <w:r w:rsidRPr="00704D55">
              <w:rPr>
                <w:rFonts w:ascii="Arial" w:eastAsia="Calibri" w:hAnsi="Arial" w:cs="Arial"/>
                <w:b/>
                <w:bCs/>
                <w:szCs w:val="22"/>
                <w:lang w:val="en-AU"/>
              </w:rPr>
              <w:t>Employment and equal opportunity group</w:t>
            </w:r>
          </w:p>
        </w:tc>
        <w:tc>
          <w:tcPr>
            <w:tcW w:w="1664" w:type="pct"/>
            <w:shd w:val="clear" w:color="auto" w:fill="auto"/>
            <w:tcMar>
              <w:top w:w="80" w:type="dxa"/>
              <w:left w:w="80" w:type="dxa"/>
              <w:bottom w:w="80" w:type="dxa"/>
              <w:right w:w="80" w:type="dxa"/>
            </w:tcMar>
          </w:tcPr>
          <w:p w:rsidR="00704D55" w:rsidRPr="00704D55" w:rsidRDefault="00704D55" w:rsidP="00704D55">
            <w:pPr>
              <w:spacing w:after="0"/>
              <w:rPr>
                <w:rFonts w:ascii="Arial" w:eastAsia="Calibri" w:hAnsi="Arial" w:cs="Arial"/>
                <w:b/>
                <w:bCs/>
                <w:lang w:val="en-AU"/>
              </w:rPr>
            </w:pPr>
            <w:r w:rsidRPr="00704D55">
              <w:rPr>
                <w:rFonts w:ascii="Arial" w:eastAsia="Calibri" w:hAnsi="Arial" w:cs="Arial"/>
                <w:b/>
                <w:bCs/>
                <w:szCs w:val="22"/>
                <w:lang w:val="en-AU"/>
              </w:rPr>
              <w:t>Targets (if none, please delete column)</w:t>
            </w:r>
          </w:p>
        </w:tc>
        <w:tc>
          <w:tcPr>
            <w:tcW w:w="1664" w:type="pct"/>
            <w:shd w:val="clear" w:color="auto" w:fill="auto"/>
          </w:tcPr>
          <w:p w:rsidR="00704D55" w:rsidRPr="00704D55" w:rsidRDefault="00704D55" w:rsidP="00704D55">
            <w:pPr>
              <w:spacing w:after="0"/>
              <w:ind w:left="67"/>
              <w:rPr>
                <w:rFonts w:ascii="Arial" w:eastAsia="Calibri" w:hAnsi="Arial" w:cs="Arial"/>
                <w:b/>
                <w:bCs/>
                <w:lang w:val="en-AU"/>
              </w:rPr>
            </w:pPr>
            <w:r w:rsidRPr="00704D55">
              <w:rPr>
                <w:rFonts w:ascii="Arial" w:eastAsia="Calibri" w:hAnsi="Arial" w:cs="Arial"/>
                <w:b/>
                <w:bCs/>
                <w:szCs w:val="22"/>
                <w:lang w:val="en-AU"/>
              </w:rPr>
              <w:t>Actual</w:t>
            </w:r>
          </w:p>
        </w:tc>
      </w:tr>
      <w:tr w:rsidR="00704D55" w:rsidRPr="00704D55" w:rsidTr="005F7F92">
        <w:trPr>
          <w:trHeight w:val="60"/>
        </w:trPr>
        <w:tc>
          <w:tcPr>
            <w:tcW w:w="1671" w:type="pct"/>
            <w:shd w:val="clear" w:color="auto" w:fill="auto"/>
            <w:tcMar>
              <w:top w:w="80" w:type="dxa"/>
              <w:left w:w="80" w:type="dxa"/>
              <w:bottom w:w="80" w:type="dxa"/>
              <w:right w:w="80" w:type="dxa"/>
            </w:tcMar>
          </w:tcPr>
          <w:p w:rsidR="00704D55" w:rsidRPr="00704D55" w:rsidRDefault="00704D55" w:rsidP="00704D55">
            <w:pPr>
              <w:spacing w:after="0"/>
              <w:rPr>
                <w:rFonts w:ascii="Arial" w:eastAsia="Calibri" w:hAnsi="Arial" w:cs="Arial"/>
                <w:lang w:val="en-AU"/>
              </w:rPr>
            </w:pPr>
            <w:r w:rsidRPr="00704D55">
              <w:rPr>
                <w:rFonts w:ascii="Arial" w:eastAsia="Calibri" w:hAnsi="Arial" w:cs="Arial"/>
                <w:szCs w:val="22"/>
                <w:lang w:val="en-AU"/>
              </w:rPr>
              <w:t>Women in senior management (Senior Executive Service and Senior Officer positions)</w:t>
            </w:r>
          </w:p>
        </w:tc>
        <w:tc>
          <w:tcPr>
            <w:tcW w:w="1664" w:type="pct"/>
            <w:shd w:val="clear" w:color="auto" w:fill="auto"/>
            <w:tcMar>
              <w:top w:w="80" w:type="dxa"/>
              <w:left w:w="80" w:type="dxa"/>
              <w:bottom w:w="80" w:type="dxa"/>
              <w:right w:w="80" w:type="dxa"/>
            </w:tcMar>
          </w:tcPr>
          <w:p w:rsidR="00704D55" w:rsidRPr="00704D55" w:rsidRDefault="00704D55" w:rsidP="00704D55">
            <w:pPr>
              <w:spacing w:after="0"/>
              <w:jc w:val="right"/>
              <w:rPr>
                <w:rFonts w:ascii="Arial" w:eastAsia="Calibri" w:hAnsi="Arial" w:cs="Arial"/>
                <w:lang w:val="en-AU"/>
              </w:rPr>
            </w:pPr>
            <w:r w:rsidRPr="00704D55">
              <w:rPr>
                <w:rFonts w:ascii="Arial" w:eastAsia="Calibri" w:hAnsi="Arial" w:cs="Arial"/>
                <w:szCs w:val="22"/>
                <w:lang w:val="en-AU"/>
              </w:rPr>
              <w:t>50%</w:t>
            </w:r>
          </w:p>
        </w:tc>
        <w:tc>
          <w:tcPr>
            <w:tcW w:w="1664" w:type="pct"/>
          </w:tcPr>
          <w:p w:rsidR="00704D55" w:rsidRPr="00704D55" w:rsidRDefault="00704D55" w:rsidP="00704D55">
            <w:pPr>
              <w:spacing w:after="0"/>
              <w:ind w:left="67" w:right="85"/>
              <w:jc w:val="right"/>
              <w:rPr>
                <w:rFonts w:ascii="Arial" w:eastAsia="Calibri" w:hAnsi="Arial" w:cs="Arial"/>
                <w:lang w:val="en-AU"/>
              </w:rPr>
            </w:pPr>
            <w:r w:rsidRPr="00704D55">
              <w:rPr>
                <w:rFonts w:ascii="Arial" w:eastAsia="Calibri" w:hAnsi="Arial" w:cs="Arial"/>
                <w:szCs w:val="22"/>
                <w:lang w:val="en-AU"/>
              </w:rPr>
              <w:t>41.7%</w:t>
            </w:r>
          </w:p>
        </w:tc>
      </w:tr>
      <w:tr w:rsidR="00704D55" w:rsidRPr="00704D55" w:rsidTr="005F7F92">
        <w:trPr>
          <w:trHeight w:val="60"/>
        </w:trPr>
        <w:tc>
          <w:tcPr>
            <w:tcW w:w="1671" w:type="pct"/>
            <w:shd w:val="clear" w:color="auto" w:fill="auto"/>
            <w:tcMar>
              <w:top w:w="80" w:type="dxa"/>
              <w:left w:w="80" w:type="dxa"/>
              <w:bottom w:w="80" w:type="dxa"/>
              <w:right w:w="80" w:type="dxa"/>
            </w:tcMar>
          </w:tcPr>
          <w:p w:rsidR="00704D55" w:rsidRPr="00704D55" w:rsidRDefault="00704D55" w:rsidP="00704D55">
            <w:pPr>
              <w:spacing w:after="0"/>
              <w:rPr>
                <w:rFonts w:ascii="Arial" w:eastAsia="Calibri" w:hAnsi="Arial" w:cs="Arial"/>
                <w:lang w:val="en-AU"/>
              </w:rPr>
            </w:pPr>
            <w:r w:rsidRPr="00704D55">
              <w:rPr>
                <w:rFonts w:ascii="Arial" w:eastAsia="Calibri" w:hAnsi="Arial" w:cs="Arial"/>
                <w:szCs w:val="22"/>
                <w:lang w:val="en-AU"/>
              </w:rPr>
              <w:t>Aboriginal and Torres Strait Islander staff</w:t>
            </w:r>
          </w:p>
        </w:tc>
        <w:tc>
          <w:tcPr>
            <w:tcW w:w="1664" w:type="pct"/>
            <w:shd w:val="clear" w:color="auto" w:fill="auto"/>
            <w:tcMar>
              <w:top w:w="80" w:type="dxa"/>
              <w:left w:w="80" w:type="dxa"/>
              <w:bottom w:w="80" w:type="dxa"/>
              <w:right w:w="80" w:type="dxa"/>
            </w:tcMar>
          </w:tcPr>
          <w:p w:rsidR="00704D55" w:rsidRPr="00704D55" w:rsidRDefault="00704D55" w:rsidP="00704D55">
            <w:pPr>
              <w:spacing w:after="0"/>
              <w:jc w:val="right"/>
              <w:rPr>
                <w:rFonts w:ascii="Arial" w:eastAsia="Calibri" w:hAnsi="Arial" w:cs="Arial"/>
                <w:lang w:val="en-AU"/>
              </w:rPr>
            </w:pPr>
            <w:r w:rsidRPr="00704D55">
              <w:rPr>
                <w:rFonts w:ascii="Arial" w:eastAsia="Calibri" w:hAnsi="Arial" w:cs="Arial"/>
                <w:szCs w:val="22"/>
                <w:lang w:val="en-AU"/>
              </w:rPr>
              <w:t>3%</w:t>
            </w:r>
          </w:p>
        </w:tc>
        <w:tc>
          <w:tcPr>
            <w:tcW w:w="1664" w:type="pct"/>
          </w:tcPr>
          <w:p w:rsidR="00704D55" w:rsidRPr="00704D55" w:rsidRDefault="00704D55" w:rsidP="00704D55">
            <w:pPr>
              <w:spacing w:after="0"/>
              <w:ind w:left="67" w:right="85"/>
              <w:jc w:val="right"/>
              <w:rPr>
                <w:rFonts w:ascii="Arial" w:eastAsia="Calibri" w:hAnsi="Arial" w:cs="Arial"/>
                <w:lang w:val="en-AU"/>
              </w:rPr>
            </w:pPr>
            <w:r w:rsidRPr="00704D55">
              <w:rPr>
                <w:rFonts w:ascii="Arial" w:eastAsia="Calibri" w:hAnsi="Arial" w:cs="Arial"/>
                <w:szCs w:val="22"/>
                <w:lang w:val="en-AU"/>
              </w:rPr>
              <w:t>3.2%</w:t>
            </w:r>
          </w:p>
        </w:tc>
      </w:tr>
      <w:tr w:rsidR="00704D55" w:rsidRPr="00704D55" w:rsidTr="005F7F92">
        <w:trPr>
          <w:trHeight w:val="60"/>
        </w:trPr>
        <w:tc>
          <w:tcPr>
            <w:tcW w:w="1671" w:type="pct"/>
            <w:shd w:val="clear" w:color="auto" w:fill="auto"/>
            <w:tcMar>
              <w:top w:w="80" w:type="dxa"/>
              <w:left w:w="80" w:type="dxa"/>
              <w:bottom w:w="80" w:type="dxa"/>
              <w:right w:w="80" w:type="dxa"/>
            </w:tcMar>
          </w:tcPr>
          <w:p w:rsidR="00704D55" w:rsidRPr="00704D55" w:rsidRDefault="00704D55" w:rsidP="00704D55">
            <w:pPr>
              <w:spacing w:after="0"/>
              <w:rPr>
                <w:rFonts w:ascii="Arial" w:eastAsia="Calibri" w:hAnsi="Arial" w:cs="Arial"/>
                <w:lang w:val="en-AU"/>
              </w:rPr>
            </w:pPr>
            <w:r w:rsidRPr="00704D55">
              <w:rPr>
                <w:rFonts w:ascii="Arial" w:eastAsia="Calibri" w:hAnsi="Arial" w:cs="Arial"/>
                <w:szCs w:val="22"/>
                <w:lang w:val="en-AU"/>
              </w:rPr>
              <w:t>People from a non-English speaking background</w:t>
            </w:r>
          </w:p>
        </w:tc>
        <w:tc>
          <w:tcPr>
            <w:tcW w:w="1664" w:type="pct"/>
            <w:shd w:val="clear" w:color="auto" w:fill="auto"/>
            <w:tcMar>
              <w:top w:w="80" w:type="dxa"/>
              <w:left w:w="80" w:type="dxa"/>
              <w:bottom w:w="80" w:type="dxa"/>
              <w:right w:w="80" w:type="dxa"/>
            </w:tcMar>
          </w:tcPr>
          <w:p w:rsidR="00704D55" w:rsidRPr="00704D55" w:rsidRDefault="00704D55" w:rsidP="00704D55">
            <w:pPr>
              <w:spacing w:after="0"/>
              <w:jc w:val="right"/>
              <w:rPr>
                <w:rFonts w:ascii="Arial" w:eastAsia="Calibri" w:hAnsi="Arial" w:cs="Arial"/>
                <w:lang w:val="en-AU"/>
              </w:rPr>
            </w:pPr>
            <w:r w:rsidRPr="00704D55">
              <w:rPr>
                <w:rFonts w:ascii="Arial" w:eastAsia="Calibri" w:hAnsi="Arial" w:cs="Arial"/>
                <w:szCs w:val="22"/>
                <w:lang w:val="en-AU"/>
              </w:rPr>
              <w:t>10%</w:t>
            </w:r>
          </w:p>
        </w:tc>
        <w:tc>
          <w:tcPr>
            <w:tcW w:w="1664" w:type="pct"/>
          </w:tcPr>
          <w:p w:rsidR="00704D55" w:rsidRPr="00704D55" w:rsidRDefault="00704D55" w:rsidP="00704D55">
            <w:pPr>
              <w:spacing w:after="0"/>
              <w:ind w:left="67" w:right="85"/>
              <w:jc w:val="right"/>
              <w:rPr>
                <w:rFonts w:ascii="Arial" w:eastAsia="Calibri" w:hAnsi="Arial" w:cs="Arial"/>
                <w:lang w:val="en-AU"/>
              </w:rPr>
            </w:pPr>
            <w:r w:rsidRPr="00704D55">
              <w:rPr>
                <w:rFonts w:ascii="Arial" w:eastAsia="Calibri" w:hAnsi="Arial" w:cs="Arial"/>
                <w:szCs w:val="22"/>
                <w:lang w:val="en-AU"/>
              </w:rPr>
              <w:t>13.1%</w:t>
            </w:r>
          </w:p>
        </w:tc>
      </w:tr>
      <w:tr w:rsidR="00704D55" w:rsidRPr="00704D55" w:rsidTr="005F7F92">
        <w:trPr>
          <w:trHeight w:val="60"/>
        </w:trPr>
        <w:tc>
          <w:tcPr>
            <w:tcW w:w="1671" w:type="pct"/>
            <w:shd w:val="clear" w:color="auto" w:fill="auto"/>
            <w:tcMar>
              <w:top w:w="80" w:type="dxa"/>
              <w:left w:w="80" w:type="dxa"/>
              <w:bottom w:w="80" w:type="dxa"/>
              <w:right w:w="80" w:type="dxa"/>
            </w:tcMar>
          </w:tcPr>
          <w:p w:rsidR="00704D55" w:rsidRPr="00704D55" w:rsidRDefault="00704D55" w:rsidP="00704D55">
            <w:pPr>
              <w:spacing w:after="0"/>
              <w:rPr>
                <w:rFonts w:ascii="Arial" w:eastAsia="Calibri" w:hAnsi="Arial" w:cs="Arial"/>
                <w:lang w:val="en-AU"/>
              </w:rPr>
            </w:pPr>
            <w:r w:rsidRPr="00704D55">
              <w:rPr>
                <w:rFonts w:ascii="Arial" w:eastAsia="Calibri" w:hAnsi="Arial" w:cs="Arial"/>
                <w:szCs w:val="22"/>
                <w:lang w:val="en-AU"/>
              </w:rPr>
              <w:t>People with a disability</w:t>
            </w:r>
          </w:p>
        </w:tc>
        <w:tc>
          <w:tcPr>
            <w:tcW w:w="1664" w:type="pct"/>
            <w:shd w:val="clear" w:color="auto" w:fill="auto"/>
            <w:tcMar>
              <w:top w:w="80" w:type="dxa"/>
              <w:left w:w="80" w:type="dxa"/>
              <w:bottom w:w="80" w:type="dxa"/>
              <w:right w:w="80" w:type="dxa"/>
            </w:tcMar>
          </w:tcPr>
          <w:p w:rsidR="00704D55" w:rsidRPr="00704D55" w:rsidRDefault="00704D55" w:rsidP="00704D55">
            <w:pPr>
              <w:spacing w:after="0"/>
              <w:jc w:val="right"/>
              <w:rPr>
                <w:rFonts w:ascii="Arial" w:eastAsia="Calibri" w:hAnsi="Arial" w:cs="Arial"/>
                <w:lang w:val="en-AU"/>
              </w:rPr>
            </w:pPr>
            <w:r w:rsidRPr="00704D55">
              <w:rPr>
                <w:rFonts w:ascii="Arial" w:eastAsia="Calibri" w:hAnsi="Arial" w:cs="Arial"/>
                <w:szCs w:val="22"/>
                <w:lang w:val="en-AU"/>
              </w:rPr>
              <w:t>8%</w:t>
            </w:r>
          </w:p>
        </w:tc>
        <w:tc>
          <w:tcPr>
            <w:tcW w:w="1664" w:type="pct"/>
          </w:tcPr>
          <w:p w:rsidR="00704D55" w:rsidRPr="00704D55" w:rsidRDefault="00704D55" w:rsidP="00704D55">
            <w:pPr>
              <w:spacing w:after="0"/>
              <w:ind w:left="67" w:right="85"/>
              <w:jc w:val="right"/>
              <w:rPr>
                <w:rFonts w:ascii="Arial" w:eastAsia="Calibri" w:hAnsi="Arial" w:cs="Arial"/>
                <w:lang w:val="en-AU"/>
              </w:rPr>
            </w:pPr>
            <w:r w:rsidRPr="00704D55">
              <w:rPr>
                <w:rFonts w:ascii="Arial" w:eastAsia="Calibri" w:hAnsi="Arial" w:cs="Arial"/>
                <w:szCs w:val="22"/>
                <w:lang w:val="en-AU"/>
              </w:rPr>
              <w:t>3.5%</w:t>
            </w:r>
          </w:p>
        </w:tc>
      </w:tr>
    </w:tbl>
    <w:p w:rsidR="00704D55" w:rsidRPr="00704D55" w:rsidRDefault="00704D55" w:rsidP="00704D55">
      <w:pPr>
        <w:spacing w:after="60"/>
        <w:rPr>
          <w:rFonts w:ascii="Arial" w:eastAsia="Calibri" w:hAnsi="Arial" w:cs="Arial"/>
          <w:szCs w:val="22"/>
          <w:lang w:val="en-AU"/>
        </w:rPr>
      </w:pPr>
    </w:p>
    <w:tbl>
      <w:tblPr>
        <w:tblStyle w:val="TableGrid1"/>
        <w:tblW w:w="0" w:type="auto"/>
        <w:tblLook w:val="04A0" w:firstRow="1" w:lastRow="0" w:firstColumn="1" w:lastColumn="0" w:noHBand="0" w:noVBand="1"/>
      </w:tblPr>
      <w:tblGrid>
        <w:gridCol w:w="6150"/>
        <w:gridCol w:w="2322"/>
      </w:tblGrid>
      <w:tr w:rsidR="00704D55" w:rsidRPr="00704D55" w:rsidTr="00704D55">
        <w:tc>
          <w:tcPr>
            <w:tcW w:w="6150" w:type="dxa"/>
            <w:shd w:val="clear" w:color="auto" w:fill="auto"/>
          </w:tcPr>
          <w:p w:rsidR="00704D55" w:rsidRPr="00704D55" w:rsidRDefault="00704D55" w:rsidP="00704D55">
            <w:pPr>
              <w:spacing w:line="259" w:lineRule="auto"/>
              <w:rPr>
                <w:rFonts w:ascii="Arial" w:hAnsi="Arial"/>
                <w:b/>
                <w:lang w:val="en-AU"/>
              </w:rPr>
            </w:pPr>
          </w:p>
        </w:tc>
        <w:tc>
          <w:tcPr>
            <w:tcW w:w="2322" w:type="dxa"/>
            <w:shd w:val="clear" w:color="auto" w:fill="auto"/>
          </w:tcPr>
          <w:p w:rsidR="00704D55" w:rsidRPr="00704D55" w:rsidRDefault="00704D55" w:rsidP="00704D55">
            <w:pPr>
              <w:spacing w:line="259" w:lineRule="auto"/>
              <w:jc w:val="right"/>
              <w:rPr>
                <w:rFonts w:ascii="Arial" w:hAnsi="Arial"/>
                <w:b/>
                <w:bCs/>
                <w:lang w:val="en-AU"/>
              </w:rPr>
            </w:pPr>
            <w:r w:rsidRPr="00704D55">
              <w:rPr>
                <w:rFonts w:ascii="Arial" w:hAnsi="Arial"/>
                <w:b/>
                <w:bCs/>
                <w:lang w:val="en-AU"/>
              </w:rPr>
              <w:t>2017–18 result</w:t>
            </w:r>
          </w:p>
        </w:tc>
      </w:tr>
      <w:tr w:rsidR="00704D55" w:rsidRPr="00704D55" w:rsidTr="00704D55">
        <w:tc>
          <w:tcPr>
            <w:tcW w:w="6150" w:type="dxa"/>
            <w:shd w:val="clear" w:color="auto" w:fill="auto"/>
          </w:tcPr>
          <w:p w:rsidR="00704D55" w:rsidRPr="00704D55" w:rsidRDefault="00704D55" w:rsidP="00704D55">
            <w:pPr>
              <w:spacing w:line="259" w:lineRule="auto"/>
              <w:rPr>
                <w:rFonts w:ascii="Arial" w:hAnsi="Arial"/>
                <w:lang w:val="en-AU"/>
              </w:rPr>
            </w:pPr>
            <w:r w:rsidRPr="00704D55">
              <w:rPr>
                <w:rFonts w:ascii="Arial" w:hAnsi="Arial"/>
                <w:lang w:val="en-AU"/>
              </w:rPr>
              <w:t>Aboriginal and Torres Strait Islander representation</w:t>
            </w:r>
          </w:p>
        </w:tc>
        <w:tc>
          <w:tcPr>
            <w:tcW w:w="2322" w:type="dxa"/>
            <w:shd w:val="clear" w:color="auto" w:fill="auto"/>
          </w:tcPr>
          <w:p w:rsidR="00704D55" w:rsidRPr="00704D55" w:rsidRDefault="00704D55" w:rsidP="00704D55">
            <w:pPr>
              <w:spacing w:line="259" w:lineRule="auto"/>
              <w:jc w:val="right"/>
              <w:rPr>
                <w:rFonts w:ascii="Arial" w:hAnsi="Arial"/>
                <w:lang w:val="en-AU"/>
              </w:rPr>
            </w:pPr>
            <w:r w:rsidRPr="00704D55">
              <w:rPr>
                <w:rFonts w:ascii="Arial" w:hAnsi="Arial"/>
                <w:lang w:val="en-AU"/>
              </w:rPr>
              <w:t>3.2%</w:t>
            </w:r>
          </w:p>
        </w:tc>
      </w:tr>
      <w:tr w:rsidR="00704D55" w:rsidRPr="00704D55" w:rsidTr="00704D55">
        <w:tc>
          <w:tcPr>
            <w:tcW w:w="6150" w:type="dxa"/>
            <w:shd w:val="clear" w:color="auto" w:fill="auto"/>
          </w:tcPr>
          <w:p w:rsidR="00704D55" w:rsidRPr="00704D55" w:rsidRDefault="00704D55" w:rsidP="00704D55">
            <w:pPr>
              <w:spacing w:line="259" w:lineRule="auto"/>
              <w:rPr>
                <w:rFonts w:ascii="Arial" w:hAnsi="Arial"/>
                <w:lang w:val="en-AU"/>
              </w:rPr>
            </w:pPr>
            <w:r w:rsidRPr="00704D55">
              <w:rPr>
                <w:rFonts w:ascii="Arial" w:hAnsi="Arial"/>
                <w:lang w:val="en-AU"/>
              </w:rPr>
              <w:t>Seasonal Influenza vaccinations</w:t>
            </w:r>
          </w:p>
        </w:tc>
        <w:tc>
          <w:tcPr>
            <w:tcW w:w="2322" w:type="dxa"/>
            <w:shd w:val="clear" w:color="auto" w:fill="auto"/>
          </w:tcPr>
          <w:p w:rsidR="00704D55" w:rsidRPr="00704D55" w:rsidRDefault="00704D55" w:rsidP="00704D55">
            <w:pPr>
              <w:spacing w:line="259" w:lineRule="auto"/>
              <w:jc w:val="right"/>
              <w:rPr>
                <w:rFonts w:ascii="Arial" w:hAnsi="Arial"/>
                <w:lang w:val="en-AU"/>
              </w:rPr>
            </w:pPr>
            <w:r w:rsidRPr="00704D55">
              <w:rPr>
                <w:rFonts w:ascii="Arial" w:hAnsi="Arial"/>
                <w:lang w:val="en-AU"/>
              </w:rPr>
              <w:t>3,593</w:t>
            </w:r>
          </w:p>
        </w:tc>
      </w:tr>
      <w:tr w:rsidR="00704D55" w:rsidRPr="00704D55" w:rsidTr="00704D55">
        <w:tc>
          <w:tcPr>
            <w:tcW w:w="6150" w:type="dxa"/>
            <w:shd w:val="clear" w:color="auto" w:fill="auto"/>
          </w:tcPr>
          <w:p w:rsidR="00704D55" w:rsidRPr="00704D55" w:rsidRDefault="00704D55" w:rsidP="00704D55">
            <w:pPr>
              <w:spacing w:line="259" w:lineRule="auto"/>
              <w:rPr>
                <w:rFonts w:ascii="Arial" w:hAnsi="Arial"/>
                <w:lang w:val="en-AU"/>
              </w:rPr>
            </w:pPr>
            <w:bookmarkStart w:id="53" w:name="_Hlk520291950"/>
            <w:r w:rsidRPr="00704D55">
              <w:rPr>
                <w:rFonts w:ascii="Arial" w:hAnsi="Arial"/>
                <w:lang w:val="en-AU"/>
              </w:rPr>
              <w:t xml:space="preserve">Training under the </w:t>
            </w:r>
            <w:bookmarkStart w:id="54" w:name="_Hlk520291866"/>
            <w:r w:rsidRPr="00704D55">
              <w:rPr>
                <w:rFonts w:ascii="Arial" w:hAnsi="Arial"/>
                <w:lang w:val="en-AU"/>
              </w:rPr>
              <w:t xml:space="preserve">Leadership at all Levels framework </w:t>
            </w:r>
            <w:bookmarkEnd w:id="53"/>
            <w:bookmarkEnd w:id="54"/>
          </w:p>
        </w:tc>
        <w:tc>
          <w:tcPr>
            <w:tcW w:w="2322" w:type="dxa"/>
            <w:shd w:val="clear" w:color="auto" w:fill="auto"/>
          </w:tcPr>
          <w:p w:rsidR="00704D55" w:rsidRPr="00704D55" w:rsidRDefault="00704D55" w:rsidP="00704D55">
            <w:pPr>
              <w:spacing w:line="259" w:lineRule="auto"/>
              <w:jc w:val="right"/>
              <w:rPr>
                <w:rFonts w:ascii="Arial" w:hAnsi="Arial"/>
                <w:lang w:val="en-AU"/>
              </w:rPr>
            </w:pPr>
            <w:r w:rsidRPr="00704D55">
              <w:rPr>
                <w:rFonts w:ascii="Arial" w:hAnsi="Arial"/>
                <w:lang w:val="en-AU"/>
              </w:rPr>
              <w:t>179</w:t>
            </w:r>
          </w:p>
        </w:tc>
      </w:tr>
      <w:tr w:rsidR="00704D55" w:rsidRPr="00704D55" w:rsidTr="00704D55">
        <w:tc>
          <w:tcPr>
            <w:tcW w:w="6150" w:type="dxa"/>
            <w:shd w:val="clear" w:color="auto" w:fill="auto"/>
          </w:tcPr>
          <w:p w:rsidR="00704D55" w:rsidRPr="00704D55" w:rsidRDefault="00704D55" w:rsidP="005F7F92">
            <w:pPr>
              <w:spacing w:line="259" w:lineRule="auto"/>
              <w:rPr>
                <w:rFonts w:ascii="Arial" w:hAnsi="Arial"/>
                <w:lang w:val="en-AU"/>
              </w:rPr>
            </w:pPr>
            <w:r w:rsidRPr="00704D55">
              <w:rPr>
                <w:rFonts w:ascii="Arial" w:hAnsi="Arial"/>
                <w:lang w:val="en-AU"/>
              </w:rPr>
              <w:t>Percentage of our management cohort who are women</w:t>
            </w:r>
          </w:p>
        </w:tc>
        <w:tc>
          <w:tcPr>
            <w:tcW w:w="2322" w:type="dxa"/>
            <w:shd w:val="clear" w:color="auto" w:fill="auto"/>
          </w:tcPr>
          <w:p w:rsidR="00704D55" w:rsidRPr="00704D55" w:rsidRDefault="00704D55" w:rsidP="005F7F92">
            <w:pPr>
              <w:spacing w:line="259" w:lineRule="auto"/>
              <w:jc w:val="right"/>
              <w:rPr>
                <w:rFonts w:ascii="Arial" w:hAnsi="Arial"/>
                <w:lang w:val="en-AU"/>
              </w:rPr>
            </w:pPr>
            <w:r w:rsidRPr="00704D55">
              <w:rPr>
                <w:rFonts w:ascii="Arial" w:hAnsi="Arial"/>
                <w:lang w:val="en-AU"/>
              </w:rPr>
              <w:t>41.7%</w:t>
            </w:r>
          </w:p>
        </w:tc>
      </w:tr>
      <w:tr w:rsidR="00704D55" w:rsidRPr="00704D55" w:rsidTr="00704D55">
        <w:tc>
          <w:tcPr>
            <w:tcW w:w="6150" w:type="dxa"/>
            <w:shd w:val="clear" w:color="auto" w:fill="auto"/>
          </w:tcPr>
          <w:p w:rsidR="00704D55" w:rsidRPr="00704D55" w:rsidRDefault="00704D55" w:rsidP="005F7F92">
            <w:pPr>
              <w:spacing w:line="259" w:lineRule="auto"/>
              <w:rPr>
                <w:rFonts w:ascii="Arial" w:hAnsi="Arial"/>
                <w:lang w:val="en-AU"/>
              </w:rPr>
            </w:pPr>
            <w:r w:rsidRPr="00704D55">
              <w:rPr>
                <w:rFonts w:ascii="Arial" w:hAnsi="Arial"/>
                <w:lang w:val="en-AU"/>
              </w:rPr>
              <w:t>Health assessments</w:t>
            </w:r>
          </w:p>
        </w:tc>
        <w:tc>
          <w:tcPr>
            <w:tcW w:w="2322" w:type="dxa"/>
            <w:shd w:val="clear" w:color="auto" w:fill="auto"/>
          </w:tcPr>
          <w:p w:rsidR="00704D55" w:rsidRPr="00704D55" w:rsidRDefault="00704D55" w:rsidP="005F7F92">
            <w:pPr>
              <w:spacing w:line="259" w:lineRule="auto"/>
              <w:jc w:val="right"/>
              <w:rPr>
                <w:rFonts w:ascii="Arial" w:hAnsi="Arial"/>
                <w:lang w:val="en-AU"/>
              </w:rPr>
            </w:pPr>
            <w:r w:rsidRPr="00704D55">
              <w:rPr>
                <w:rFonts w:ascii="Arial" w:hAnsi="Arial"/>
                <w:lang w:val="en-AU"/>
              </w:rPr>
              <w:t>718</w:t>
            </w:r>
          </w:p>
        </w:tc>
      </w:tr>
      <w:tr w:rsidR="00704D55" w:rsidRPr="00704D55" w:rsidTr="00704D55">
        <w:tc>
          <w:tcPr>
            <w:tcW w:w="6150" w:type="dxa"/>
            <w:shd w:val="clear" w:color="auto" w:fill="auto"/>
          </w:tcPr>
          <w:p w:rsidR="00704D55" w:rsidRPr="00704D55" w:rsidRDefault="00704D55" w:rsidP="00704D55">
            <w:pPr>
              <w:spacing w:line="259" w:lineRule="auto"/>
              <w:rPr>
                <w:rFonts w:ascii="Arial" w:hAnsi="Arial"/>
                <w:lang w:val="en-AU"/>
              </w:rPr>
            </w:pPr>
            <w:r w:rsidRPr="00704D55">
              <w:rPr>
                <w:rFonts w:ascii="Arial" w:hAnsi="Arial"/>
                <w:lang w:val="en-AU"/>
              </w:rPr>
              <w:t>Staff who attended mental health awareness training</w:t>
            </w:r>
          </w:p>
        </w:tc>
        <w:tc>
          <w:tcPr>
            <w:tcW w:w="2322" w:type="dxa"/>
            <w:shd w:val="clear" w:color="auto" w:fill="auto"/>
          </w:tcPr>
          <w:p w:rsidR="00704D55" w:rsidRPr="00704D55" w:rsidRDefault="00704D55" w:rsidP="00704D55">
            <w:pPr>
              <w:spacing w:line="259" w:lineRule="auto"/>
              <w:jc w:val="right"/>
              <w:rPr>
                <w:rFonts w:ascii="Arial" w:hAnsi="Arial"/>
                <w:lang w:val="en-AU"/>
              </w:rPr>
            </w:pPr>
            <w:r w:rsidRPr="00704D55">
              <w:rPr>
                <w:rFonts w:ascii="Arial" w:hAnsi="Arial"/>
                <w:lang w:val="en-AU"/>
              </w:rPr>
              <w:t>950</w:t>
            </w:r>
          </w:p>
        </w:tc>
      </w:tr>
    </w:tbl>
    <w:p w:rsidR="00704D55" w:rsidRPr="00C96F1A" w:rsidRDefault="00704D55" w:rsidP="00704D55">
      <w:pPr>
        <w:rPr>
          <w:rFonts w:ascii="Arial" w:hAnsi="Arial" w:cs="Arial"/>
        </w:rPr>
      </w:pPr>
    </w:p>
    <w:p w:rsidR="00704D55" w:rsidRDefault="00704D55">
      <w:pPr>
        <w:spacing w:before="0" w:after="0"/>
        <w:rPr>
          <w:rFonts w:asciiTheme="majorHAnsi" w:eastAsiaTheme="majorEastAsia" w:hAnsiTheme="majorHAnsi" w:cstheme="majorBidi"/>
          <w:b/>
          <w:bCs/>
          <w:sz w:val="32"/>
          <w:szCs w:val="26"/>
        </w:rPr>
      </w:pPr>
      <w:r>
        <w:br w:type="page"/>
      </w:r>
    </w:p>
    <w:p w:rsidR="0028598A" w:rsidRPr="00C96F1A" w:rsidRDefault="00B625AF" w:rsidP="00321B30">
      <w:pPr>
        <w:pStyle w:val="Heading2"/>
      </w:pPr>
      <w:bookmarkStart w:id="55" w:name="_Toc528845973"/>
      <w:r w:rsidRPr="00C96F1A">
        <w:lastRenderedPageBreak/>
        <w:t xml:space="preserve">Strategic </w:t>
      </w:r>
      <w:bookmarkStart w:id="56" w:name="WORKFORCE_PLANNING_START"/>
      <w:r w:rsidRPr="00C96F1A">
        <w:t xml:space="preserve">workforce </w:t>
      </w:r>
      <w:bookmarkEnd w:id="56"/>
      <w:r w:rsidRPr="00C96F1A">
        <w:t>planning</w:t>
      </w:r>
      <w:bookmarkEnd w:id="55"/>
    </w:p>
    <w:p w:rsidR="0028598A" w:rsidRPr="00C96F1A" w:rsidRDefault="00B625AF" w:rsidP="00C96F1A">
      <w:pPr>
        <w:rPr>
          <w:rFonts w:ascii="Arial" w:hAnsi="Arial" w:cs="Arial"/>
        </w:rPr>
      </w:pPr>
      <w:r w:rsidRPr="00C96F1A">
        <w:rPr>
          <w:rFonts w:ascii="Arial" w:hAnsi="Arial" w:cs="Arial"/>
        </w:rPr>
        <w:t xml:space="preserve">Our </w:t>
      </w:r>
      <w:r w:rsidRPr="00FA5596">
        <w:rPr>
          <w:rFonts w:ascii="Arial" w:hAnsi="Arial" w:cs="Arial"/>
          <w:i/>
        </w:rPr>
        <w:t>People and Culture Strategy 2016–20</w:t>
      </w:r>
      <w:r w:rsidRPr="00C96F1A">
        <w:rPr>
          <w:rFonts w:ascii="Arial" w:hAnsi="Arial" w:cs="Arial"/>
        </w:rPr>
        <w:t xml:space="preserve"> identifies our department’s strategic workforce priorities and aligns with the delivery of the whole-of-government and departmental priorities as well as key themes arising from the annual Working for Queensland Survey.</w:t>
      </w:r>
    </w:p>
    <w:p w:rsidR="0028598A" w:rsidRPr="00C96F1A" w:rsidRDefault="00B625AF" w:rsidP="008156BD">
      <w:pPr>
        <w:pStyle w:val="Heading6"/>
      </w:pPr>
      <w:r w:rsidRPr="00C96F1A">
        <w:t>Managing employee performance</w:t>
      </w:r>
    </w:p>
    <w:p w:rsidR="0028598A" w:rsidRPr="00C96F1A" w:rsidRDefault="00B625AF" w:rsidP="00C96F1A">
      <w:pPr>
        <w:rPr>
          <w:rFonts w:ascii="Arial" w:hAnsi="Arial" w:cs="Arial"/>
        </w:rPr>
      </w:pPr>
      <w:r w:rsidRPr="00C96F1A">
        <w:rPr>
          <w:rFonts w:ascii="Arial" w:hAnsi="Arial" w:cs="Arial"/>
        </w:rPr>
        <w:t xml:space="preserve">The department’s </w:t>
      </w:r>
      <w:r w:rsidRPr="00B54A76">
        <w:rPr>
          <w:rFonts w:ascii="Arial" w:hAnsi="Arial" w:cs="Arial"/>
          <w:i/>
        </w:rPr>
        <w:t>Performance Excellence Framework</w:t>
      </w:r>
      <w:r w:rsidRPr="00C96F1A">
        <w:rPr>
          <w:rFonts w:ascii="Arial" w:hAnsi="Arial" w:cs="Arial"/>
        </w:rPr>
        <w:t xml:space="preserve"> fosters and supports a workplace culture of high performance through programs, initiatives and actions that maximise the potential of our employees. This framework is achieved through focusing on the following four key areas of the employment relationship:</w:t>
      </w:r>
    </w:p>
    <w:p w:rsidR="0028598A" w:rsidRPr="00B54A76" w:rsidRDefault="00B625AF" w:rsidP="00D806AE">
      <w:pPr>
        <w:pStyle w:val="ListParagraph"/>
        <w:numPr>
          <w:ilvl w:val="0"/>
          <w:numId w:val="33"/>
        </w:numPr>
        <w:rPr>
          <w:rFonts w:ascii="Arial" w:hAnsi="Arial" w:cs="Arial"/>
        </w:rPr>
      </w:pPr>
      <w:r w:rsidRPr="00B54A76">
        <w:rPr>
          <w:rFonts w:ascii="Arial" w:hAnsi="Arial" w:cs="Arial"/>
        </w:rPr>
        <w:t>recruit and induct</w:t>
      </w:r>
    </w:p>
    <w:p w:rsidR="0028598A" w:rsidRPr="00B54A76" w:rsidRDefault="00B625AF" w:rsidP="00D806AE">
      <w:pPr>
        <w:pStyle w:val="ListParagraph"/>
        <w:numPr>
          <w:ilvl w:val="0"/>
          <w:numId w:val="33"/>
        </w:numPr>
        <w:rPr>
          <w:rFonts w:ascii="Arial" w:hAnsi="Arial" w:cs="Arial"/>
        </w:rPr>
      </w:pPr>
      <w:r w:rsidRPr="00B54A76">
        <w:rPr>
          <w:rFonts w:ascii="Arial" w:hAnsi="Arial" w:cs="Arial"/>
        </w:rPr>
        <w:t>engage</w:t>
      </w:r>
    </w:p>
    <w:p w:rsidR="0028598A" w:rsidRPr="00B54A76" w:rsidRDefault="00B625AF" w:rsidP="00D806AE">
      <w:pPr>
        <w:pStyle w:val="ListParagraph"/>
        <w:numPr>
          <w:ilvl w:val="0"/>
          <w:numId w:val="33"/>
        </w:numPr>
        <w:rPr>
          <w:rFonts w:ascii="Arial" w:hAnsi="Arial" w:cs="Arial"/>
        </w:rPr>
      </w:pPr>
      <w:r w:rsidRPr="00B54A76">
        <w:rPr>
          <w:rFonts w:ascii="Arial" w:hAnsi="Arial" w:cs="Arial"/>
        </w:rPr>
        <w:t>perform and review</w:t>
      </w:r>
    </w:p>
    <w:p w:rsidR="0028598A" w:rsidRPr="00B54A76" w:rsidRDefault="00B625AF" w:rsidP="00D806AE">
      <w:pPr>
        <w:pStyle w:val="ListParagraph"/>
        <w:numPr>
          <w:ilvl w:val="0"/>
          <w:numId w:val="33"/>
        </w:numPr>
        <w:rPr>
          <w:rFonts w:ascii="Arial" w:hAnsi="Arial" w:cs="Arial"/>
        </w:rPr>
      </w:pPr>
      <w:r w:rsidRPr="00B54A76">
        <w:rPr>
          <w:rFonts w:ascii="Arial" w:hAnsi="Arial" w:cs="Arial"/>
        </w:rPr>
        <w:t>recognise and reward.</w:t>
      </w:r>
    </w:p>
    <w:p w:rsidR="0028598A" w:rsidRPr="00C96F1A" w:rsidRDefault="00B625AF" w:rsidP="00C96F1A">
      <w:pPr>
        <w:rPr>
          <w:rFonts w:ascii="Arial" w:hAnsi="Arial" w:cs="Arial"/>
        </w:rPr>
      </w:pPr>
      <w:r w:rsidRPr="00C96F1A">
        <w:rPr>
          <w:rFonts w:ascii="Arial" w:hAnsi="Arial" w:cs="Arial"/>
        </w:rPr>
        <w:t>In 2017–18, we rolled out a suite of performance excellence resources including:</w:t>
      </w:r>
    </w:p>
    <w:p w:rsidR="0028598A" w:rsidRPr="00B54A76" w:rsidRDefault="00B625AF" w:rsidP="00D806AE">
      <w:pPr>
        <w:pStyle w:val="ListParagraph"/>
        <w:numPr>
          <w:ilvl w:val="0"/>
          <w:numId w:val="46"/>
        </w:numPr>
        <w:rPr>
          <w:rFonts w:ascii="Arial" w:hAnsi="Arial" w:cs="Arial"/>
        </w:rPr>
      </w:pPr>
      <w:r w:rsidRPr="00B54A76">
        <w:rPr>
          <w:rFonts w:ascii="Arial" w:hAnsi="Arial" w:cs="Arial"/>
        </w:rPr>
        <w:t>Leading Performance: Workplace Conversations (111 attendees)</w:t>
      </w:r>
    </w:p>
    <w:p w:rsidR="0028598A" w:rsidRPr="00B54A76" w:rsidRDefault="00B625AF" w:rsidP="00D806AE">
      <w:pPr>
        <w:pStyle w:val="ListParagraph"/>
        <w:numPr>
          <w:ilvl w:val="0"/>
          <w:numId w:val="46"/>
        </w:numPr>
        <w:rPr>
          <w:rFonts w:ascii="Arial" w:hAnsi="Arial" w:cs="Arial"/>
        </w:rPr>
      </w:pPr>
      <w:r w:rsidRPr="00B54A76">
        <w:rPr>
          <w:rFonts w:ascii="Arial" w:hAnsi="Arial" w:cs="Arial"/>
        </w:rPr>
        <w:t>Recruitment and Selection (85 attendees)</w:t>
      </w:r>
    </w:p>
    <w:p w:rsidR="0028598A" w:rsidRPr="00B54A76" w:rsidRDefault="00B625AF" w:rsidP="00D806AE">
      <w:pPr>
        <w:pStyle w:val="ListParagraph"/>
        <w:numPr>
          <w:ilvl w:val="0"/>
          <w:numId w:val="46"/>
        </w:numPr>
        <w:rPr>
          <w:rFonts w:ascii="Arial" w:hAnsi="Arial" w:cs="Arial"/>
        </w:rPr>
      </w:pPr>
      <w:r w:rsidRPr="00B54A76">
        <w:rPr>
          <w:rFonts w:ascii="Arial" w:hAnsi="Arial" w:cs="Arial"/>
        </w:rPr>
        <w:t>Practical Emotional Intelligence (137 attendees).</w:t>
      </w:r>
    </w:p>
    <w:p w:rsidR="0028598A" w:rsidRPr="00B54A76" w:rsidRDefault="00B625AF" w:rsidP="008156BD">
      <w:pPr>
        <w:pStyle w:val="Heading6"/>
      </w:pPr>
      <w:r w:rsidRPr="00B54A76">
        <w:t>Workplace attendance</w:t>
      </w:r>
    </w:p>
    <w:p w:rsidR="0028598A" w:rsidRPr="00C96F1A" w:rsidRDefault="00B625AF" w:rsidP="00C96F1A">
      <w:pPr>
        <w:rPr>
          <w:rFonts w:ascii="Arial" w:hAnsi="Arial" w:cs="Arial"/>
        </w:rPr>
      </w:pPr>
      <w:r w:rsidRPr="00C96F1A">
        <w:rPr>
          <w:rFonts w:ascii="Arial" w:hAnsi="Arial" w:cs="Arial"/>
        </w:rPr>
        <w:t>As at 30 June 2018, the annual number of days of unplanned absenteeism per employee was 11.05 days for the pre- machinery-of-government areas of department. This is an increase by an average 0.66 days per employee against the 30 June 2017 result of 10.39. The annual unplanned absenteeism days per employee for Digital Technology (former DSITI areas) was 12.24 days and Sport and Recreation Services was 8.82 days.</w:t>
      </w:r>
    </w:p>
    <w:p w:rsidR="0028598A" w:rsidRPr="00C96F1A" w:rsidRDefault="00B625AF" w:rsidP="00C96F1A">
      <w:pPr>
        <w:rPr>
          <w:rFonts w:ascii="Arial" w:hAnsi="Arial" w:cs="Arial"/>
        </w:rPr>
      </w:pPr>
      <w:r w:rsidRPr="00C96F1A">
        <w:rPr>
          <w:rFonts w:ascii="Arial" w:hAnsi="Arial" w:cs="Arial"/>
        </w:rPr>
        <w:t>Addressing absenteeism through a range of strategies is a priority for our department.</w:t>
      </w:r>
    </w:p>
    <w:p w:rsidR="0028598A" w:rsidRPr="00C96F1A" w:rsidRDefault="00B625AF" w:rsidP="00C96F1A">
      <w:pPr>
        <w:rPr>
          <w:rFonts w:ascii="Arial" w:hAnsi="Arial" w:cs="Arial"/>
        </w:rPr>
      </w:pPr>
      <w:r w:rsidRPr="00C96F1A">
        <w:rPr>
          <w:rFonts w:ascii="Arial" w:hAnsi="Arial" w:cs="Arial"/>
        </w:rPr>
        <w:t>In 2017–18, we:</w:t>
      </w:r>
    </w:p>
    <w:p w:rsidR="0028598A" w:rsidRPr="00B54A76" w:rsidRDefault="00B625AF" w:rsidP="00D806AE">
      <w:pPr>
        <w:pStyle w:val="ListParagraph"/>
        <w:numPr>
          <w:ilvl w:val="0"/>
          <w:numId w:val="47"/>
        </w:numPr>
        <w:rPr>
          <w:rFonts w:ascii="Arial" w:hAnsi="Arial" w:cs="Arial"/>
        </w:rPr>
      </w:pPr>
      <w:r w:rsidRPr="00B54A76">
        <w:rPr>
          <w:rFonts w:ascii="Arial" w:hAnsi="Arial" w:cs="Arial"/>
        </w:rPr>
        <w:t xml:space="preserve">implemented the </w:t>
      </w:r>
      <w:r w:rsidRPr="008156BD">
        <w:rPr>
          <w:rFonts w:ascii="Arial" w:hAnsi="Arial" w:cs="Arial"/>
          <w:i/>
        </w:rPr>
        <w:t>Healthy and Safe Workforce Action Plan 2018–20</w:t>
      </w:r>
    </w:p>
    <w:p w:rsidR="0028598A" w:rsidRPr="00B54A76" w:rsidRDefault="00B625AF" w:rsidP="00D806AE">
      <w:pPr>
        <w:pStyle w:val="ListParagraph"/>
        <w:numPr>
          <w:ilvl w:val="0"/>
          <w:numId w:val="47"/>
        </w:numPr>
        <w:rPr>
          <w:rFonts w:ascii="Arial" w:hAnsi="Arial" w:cs="Arial"/>
        </w:rPr>
      </w:pPr>
      <w:r w:rsidRPr="00B54A76">
        <w:rPr>
          <w:rFonts w:ascii="Arial" w:hAnsi="Arial" w:cs="Arial"/>
        </w:rPr>
        <w:t>achieved White Ribbon Australia Workplace Accreditation demonstrating our commitment to supporting employees affected by domestic and family violence</w:t>
      </w:r>
    </w:p>
    <w:p w:rsidR="0028598A" w:rsidRPr="00B54A76" w:rsidRDefault="00B625AF" w:rsidP="00D806AE">
      <w:pPr>
        <w:pStyle w:val="ListParagraph"/>
        <w:numPr>
          <w:ilvl w:val="0"/>
          <w:numId w:val="47"/>
        </w:numPr>
        <w:rPr>
          <w:rFonts w:ascii="Arial" w:hAnsi="Arial" w:cs="Arial"/>
        </w:rPr>
      </w:pPr>
      <w:r w:rsidRPr="00B54A76">
        <w:rPr>
          <w:rFonts w:ascii="Arial" w:hAnsi="Arial" w:cs="Arial"/>
        </w:rPr>
        <w:t>offered access to the Employee Assistance Services and the Early Intervention Centre as a means of reducing the rate and impact of employee injury and illness, both physical and psychological</w:t>
      </w:r>
    </w:p>
    <w:p w:rsidR="0028598A" w:rsidRPr="00B54A76" w:rsidRDefault="00B625AF" w:rsidP="00D806AE">
      <w:pPr>
        <w:pStyle w:val="ListParagraph"/>
        <w:numPr>
          <w:ilvl w:val="0"/>
          <w:numId w:val="47"/>
        </w:numPr>
        <w:rPr>
          <w:rFonts w:ascii="Arial" w:hAnsi="Arial" w:cs="Arial"/>
        </w:rPr>
      </w:pPr>
      <w:r w:rsidRPr="00B54A76">
        <w:rPr>
          <w:rFonts w:ascii="Arial" w:hAnsi="Arial" w:cs="Arial"/>
        </w:rPr>
        <w:t>provided initiatives such as health assessments, skin checks and flu vaccinations through the department’s Pathways Health and Wellbeing Program</w:t>
      </w:r>
    </w:p>
    <w:p w:rsidR="0028598A" w:rsidRPr="00B54A76" w:rsidRDefault="00B625AF" w:rsidP="00D806AE">
      <w:pPr>
        <w:pStyle w:val="ListParagraph"/>
        <w:numPr>
          <w:ilvl w:val="0"/>
          <w:numId w:val="47"/>
        </w:numPr>
        <w:rPr>
          <w:rFonts w:ascii="Arial" w:hAnsi="Arial" w:cs="Arial"/>
        </w:rPr>
      </w:pPr>
      <w:r w:rsidRPr="00B54A76">
        <w:rPr>
          <w:rFonts w:ascii="Arial" w:hAnsi="Arial" w:cs="Arial"/>
        </w:rPr>
        <w:t>provided ongoing quarterly business area and employee unplanned absenteeism reports</w:t>
      </w:r>
    </w:p>
    <w:p w:rsidR="0028598A" w:rsidRPr="00B54A76" w:rsidRDefault="00B625AF" w:rsidP="00D806AE">
      <w:pPr>
        <w:pStyle w:val="ListParagraph"/>
        <w:numPr>
          <w:ilvl w:val="0"/>
          <w:numId w:val="47"/>
        </w:numPr>
        <w:rPr>
          <w:rFonts w:ascii="Arial" w:hAnsi="Arial" w:cs="Arial"/>
        </w:rPr>
      </w:pPr>
      <w:r w:rsidRPr="00B54A76">
        <w:rPr>
          <w:rFonts w:ascii="Arial" w:hAnsi="Arial" w:cs="Arial"/>
        </w:rPr>
        <w:t>delivered the Managing for Results Workplace Health and Safety training program including domestic and family violence, risk management and workplace behaviours.</w:t>
      </w:r>
    </w:p>
    <w:p w:rsidR="0028598A" w:rsidRPr="00C96F1A" w:rsidRDefault="00B625AF" w:rsidP="008156BD">
      <w:pPr>
        <w:pStyle w:val="Heading6"/>
      </w:pPr>
      <w:r w:rsidRPr="00C96F1A">
        <w:t>Leadership and management development</w:t>
      </w:r>
    </w:p>
    <w:p w:rsidR="0028598A" w:rsidRPr="00C96F1A" w:rsidRDefault="00B625AF" w:rsidP="00C96F1A">
      <w:pPr>
        <w:rPr>
          <w:rFonts w:ascii="Arial" w:hAnsi="Arial" w:cs="Arial"/>
        </w:rPr>
      </w:pPr>
      <w:r w:rsidRPr="00C96F1A">
        <w:rPr>
          <w:rFonts w:ascii="Arial" w:hAnsi="Arial" w:cs="Arial"/>
        </w:rPr>
        <w:t>Our leadership and management development programs are an important component in the development of our future leaders and improving leadership capability across the department.</w:t>
      </w:r>
    </w:p>
    <w:p w:rsidR="0028598A" w:rsidRPr="00C96F1A" w:rsidRDefault="00B625AF" w:rsidP="00C96F1A">
      <w:pPr>
        <w:rPr>
          <w:rFonts w:ascii="Arial" w:hAnsi="Arial" w:cs="Arial"/>
        </w:rPr>
      </w:pPr>
      <w:r w:rsidRPr="00C96F1A">
        <w:rPr>
          <w:rFonts w:ascii="Arial" w:hAnsi="Arial" w:cs="Arial"/>
        </w:rPr>
        <w:lastRenderedPageBreak/>
        <w:t>Our programs include the Leadership at all Levels Framework, Managing for Results (M4R), Taking the Lead and Emerging Leaders Program (ELP).</w:t>
      </w:r>
    </w:p>
    <w:p w:rsidR="0028598A" w:rsidRPr="00C96F1A" w:rsidRDefault="00B625AF" w:rsidP="00C96F1A">
      <w:pPr>
        <w:rPr>
          <w:rFonts w:ascii="Arial" w:hAnsi="Arial" w:cs="Arial"/>
        </w:rPr>
      </w:pPr>
      <w:r w:rsidRPr="00C96F1A">
        <w:rPr>
          <w:rFonts w:ascii="Arial" w:hAnsi="Arial" w:cs="Arial"/>
        </w:rPr>
        <w:t>In 2017–18, we:</w:t>
      </w:r>
    </w:p>
    <w:p w:rsidR="0028598A" w:rsidRPr="00FA5596" w:rsidRDefault="00B625AF" w:rsidP="006F2791">
      <w:pPr>
        <w:pStyle w:val="ListParagraph"/>
        <w:numPr>
          <w:ilvl w:val="0"/>
          <w:numId w:val="48"/>
        </w:numPr>
        <w:rPr>
          <w:rFonts w:ascii="Arial" w:hAnsi="Arial" w:cs="Arial"/>
        </w:rPr>
      </w:pPr>
      <w:r w:rsidRPr="00FA5596">
        <w:rPr>
          <w:rFonts w:ascii="Arial" w:hAnsi="Arial" w:cs="Arial"/>
        </w:rPr>
        <w:t>supported 47 employees to complete the Managing for Results program, which focuses on the foundational skills of management and leadership to optimise individual and</w:t>
      </w:r>
      <w:r w:rsidR="00FA5596" w:rsidRPr="00FA5596">
        <w:rPr>
          <w:rFonts w:ascii="Arial" w:hAnsi="Arial" w:cs="Arial"/>
        </w:rPr>
        <w:t xml:space="preserve"> </w:t>
      </w:r>
      <w:r w:rsidRPr="00FA5596">
        <w:rPr>
          <w:rFonts w:ascii="Arial" w:hAnsi="Arial" w:cs="Arial"/>
        </w:rPr>
        <w:t>organisational productivity, performance and service delivery</w:t>
      </w:r>
    </w:p>
    <w:p w:rsidR="0028598A" w:rsidRPr="00B54A76" w:rsidRDefault="00B625AF" w:rsidP="00D806AE">
      <w:pPr>
        <w:pStyle w:val="ListParagraph"/>
        <w:numPr>
          <w:ilvl w:val="0"/>
          <w:numId w:val="48"/>
        </w:numPr>
        <w:rPr>
          <w:rFonts w:ascii="Arial" w:hAnsi="Arial" w:cs="Arial"/>
        </w:rPr>
      </w:pPr>
      <w:r w:rsidRPr="00B54A76">
        <w:rPr>
          <w:rFonts w:ascii="Arial" w:hAnsi="Arial" w:cs="Arial"/>
        </w:rPr>
        <w:t>supported 64 employees to complete our Taking the Lead program, which aims to help participants to effectively lead and influence, inspire others and provide direction</w:t>
      </w:r>
    </w:p>
    <w:p w:rsidR="0028598A" w:rsidRPr="00B54A76" w:rsidRDefault="00B625AF" w:rsidP="00D806AE">
      <w:pPr>
        <w:pStyle w:val="ListParagraph"/>
        <w:numPr>
          <w:ilvl w:val="0"/>
          <w:numId w:val="48"/>
        </w:numPr>
        <w:rPr>
          <w:rFonts w:ascii="Arial" w:hAnsi="Arial" w:cs="Arial"/>
        </w:rPr>
      </w:pPr>
      <w:r w:rsidRPr="00B54A76">
        <w:rPr>
          <w:rFonts w:ascii="Arial" w:hAnsi="Arial" w:cs="Arial"/>
        </w:rPr>
        <w:t>continued to support the 13 new graduates recruited across three different graduate programs in 2016–17, with these two-year programs continuing during 2017–18</w:t>
      </w:r>
    </w:p>
    <w:p w:rsidR="0028598A" w:rsidRPr="00B54A76" w:rsidRDefault="00B625AF" w:rsidP="00D806AE">
      <w:pPr>
        <w:pStyle w:val="ListParagraph"/>
        <w:numPr>
          <w:ilvl w:val="0"/>
          <w:numId w:val="48"/>
        </w:numPr>
        <w:rPr>
          <w:rFonts w:ascii="Arial" w:hAnsi="Arial" w:cs="Arial"/>
        </w:rPr>
      </w:pPr>
      <w:r w:rsidRPr="00B54A76">
        <w:rPr>
          <w:rFonts w:ascii="Arial" w:hAnsi="Arial" w:cs="Arial"/>
        </w:rPr>
        <w:t xml:space="preserve">continued to roll out the </w:t>
      </w:r>
      <w:r w:rsidRPr="00B54A76">
        <w:rPr>
          <w:rFonts w:ascii="Arial" w:hAnsi="Arial" w:cs="Arial"/>
          <w:i/>
        </w:rPr>
        <w:t>Performance Excellence Framework module</w:t>
      </w:r>
      <w:r w:rsidRPr="00B54A76">
        <w:rPr>
          <w:rFonts w:ascii="Arial" w:hAnsi="Arial" w:cs="Arial"/>
        </w:rPr>
        <w:t>, Leading Performance: Workplace Conversations sessions</w:t>
      </w:r>
    </w:p>
    <w:p w:rsidR="0028598A" w:rsidRPr="00B54A76" w:rsidRDefault="00B625AF" w:rsidP="00D806AE">
      <w:pPr>
        <w:pStyle w:val="ListParagraph"/>
        <w:numPr>
          <w:ilvl w:val="0"/>
          <w:numId w:val="48"/>
        </w:numPr>
        <w:rPr>
          <w:rFonts w:ascii="Arial" w:hAnsi="Arial" w:cs="Arial"/>
        </w:rPr>
      </w:pPr>
      <w:r w:rsidRPr="00B54A76">
        <w:rPr>
          <w:rFonts w:ascii="Arial" w:hAnsi="Arial" w:cs="Arial"/>
        </w:rPr>
        <w:t>developed the Practical Emotional Intelligence session, with 137 employees attending the one-day workshop</w:t>
      </w:r>
    </w:p>
    <w:p w:rsidR="0028598A" w:rsidRPr="00B54A76" w:rsidRDefault="00B625AF" w:rsidP="00D806AE">
      <w:pPr>
        <w:pStyle w:val="ListParagraph"/>
        <w:numPr>
          <w:ilvl w:val="0"/>
          <w:numId w:val="48"/>
        </w:numPr>
        <w:rPr>
          <w:rFonts w:ascii="Arial" w:hAnsi="Arial" w:cs="Arial"/>
        </w:rPr>
      </w:pPr>
      <w:r w:rsidRPr="00B54A76">
        <w:rPr>
          <w:rFonts w:ascii="Arial" w:hAnsi="Arial" w:cs="Arial"/>
        </w:rPr>
        <w:t>continued to expand the MyCareerHub learning management system (LMS) with a total of 27,256 course enrolments registered</w:t>
      </w:r>
    </w:p>
    <w:p w:rsidR="0028598A" w:rsidRPr="00B54A76" w:rsidRDefault="00B625AF" w:rsidP="00D806AE">
      <w:pPr>
        <w:pStyle w:val="ListParagraph"/>
        <w:numPr>
          <w:ilvl w:val="0"/>
          <w:numId w:val="48"/>
        </w:numPr>
        <w:rPr>
          <w:rFonts w:ascii="Arial" w:hAnsi="Arial" w:cs="Arial"/>
        </w:rPr>
      </w:pPr>
      <w:r w:rsidRPr="00B54A76">
        <w:rPr>
          <w:rFonts w:ascii="Arial" w:hAnsi="Arial" w:cs="Arial"/>
        </w:rPr>
        <w:t>in addition to its five mandatory modules, MyCareerHub:</w:t>
      </w:r>
    </w:p>
    <w:p w:rsidR="0028598A" w:rsidRPr="00B54A76" w:rsidRDefault="00B625AF" w:rsidP="00D806AE">
      <w:pPr>
        <w:pStyle w:val="ListParagraph"/>
        <w:numPr>
          <w:ilvl w:val="0"/>
          <w:numId w:val="49"/>
        </w:numPr>
        <w:rPr>
          <w:rFonts w:ascii="Arial" w:hAnsi="Arial" w:cs="Arial"/>
        </w:rPr>
      </w:pPr>
      <w:r w:rsidRPr="00B54A76">
        <w:rPr>
          <w:rFonts w:ascii="Arial" w:hAnsi="Arial" w:cs="Arial"/>
        </w:rPr>
        <w:t>now hosts over 230 courses or recordable activities covering a wide range of topics, business areas and course categories</w:t>
      </w:r>
    </w:p>
    <w:p w:rsidR="0028598A" w:rsidRPr="00B54A76" w:rsidRDefault="00B625AF" w:rsidP="00D806AE">
      <w:pPr>
        <w:pStyle w:val="ListParagraph"/>
        <w:numPr>
          <w:ilvl w:val="0"/>
          <w:numId w:val="49"/>
        </w:numPr>
        <w:rPr>
          <w:rFonts w:ascii="Arial" w:hAnsi="Arial" w:cs="Arial"/>
        </w:rPr>
      </w:pPr>
      <w:r w:rsidRPr="00B54A76">
        <w:rPr>
          <w:rFonts w:ascii="Arial" w:hAnsi="Arial" w:cs="Arial"/>
        </w:rPr>
        <w:t>provides a platform for hosting various e-learning courses</w:t>
      </w:r>
    </w:p>
    <w:p w:rsidR="0028598A" w:rsidRPr="00FA5596" w:rsidRDefault="00B625AF" w:rsidP="006F2791">
      <w:pPr>
        <w:pStyle w:val="ListParagraph"/>
        <w:numPr>
          <w:ilvl w:val="0"/>
          <w:numId w:val="49"/>
        </w:numPr>
        <w:rPr>
          <w:rFonts w:ascii="Arial" w:hAnsi="Arial" w:cs="Arial"/>
        </w:rPr>
      </w:pPr>
      <w:r w:rsidRPr="00FA5596">
        <w:rPr>
          <w:rFonts w:ascii="Arial" w:hAnsi="Arial" w:cs="Arial"/>
        </w:rPr>
        <w:t>manages divisional or role specific compliance-based</w:t>
      </w:r>
      <w:r w:rsidR="00FA5596" w:rsidRPr="00FA5596">
        <w:rPr>
          <w:rFonts w:ascii="Arial" w:hAnsi="Arial" w:cs="Arial"/>
        </w:rPr>
        <w:t xml:space="preserve"> </w:t>
      </w:r>
      <w:r w:rsidRPr="00FA5596">
        <w:rPr>
          <w:rFonts w:ascii="Arial" w:hAnsi="Arial" w:cs="Arial"/>
        </w:rPr>
        <w:t>documents and presentations</w:t>
      </w:r>
    </w:p>
    <w:p w:rsidR="0028598A" w:rsidRPr="00B54A76" w:rsidRDefault="00B625AF" w:rsidP="00D806AE">
      <w:pPr>
        <w:pStyle w:val="ListParagraph"/>
        <w:numPr>
          <w:ilvl w:val="0"/>
          <w:numId w:val="49"/>
        </w:numPr>
        <w:rPr>
          <w:rFonts w:ascii="Arial" w:hAnsi="Arial" w:cs="Arial"/>
        </w:rPr>
      </w:pPr>
      <w:r w:rsidRPr="00B54A76">
        <w:rPr>
          <w:rFonts w:ascii="Arial" w:hAnsi="Arial" w:cs="Arial"/>
        </w:rPr>
        <w:t>provides end-to-end administrative functionality for face- to-face training.</w:t>
      </w:r>
    </w:p>
    <w:p w:rsidR="0028598A" w:rsidRPr="00B54A76" w:rsidRDefault="00B625AF" w:rsidP="00D806AE">
      <w:pPr>
        <w:pStyle w:val="ListParagraph"/>
        <w:numPr>
          <w:ilvl w:val="0"/>
          <w:numId w:val="50"/>
        </w:numPr>
        <w:rPr>
          <w:rFonts w:ascii="Arial" w:hAnsi="Arial" w:cs="Arial"/>
        </w:rPr>
      </w:pPr>
      <w:r w:rsidRPr="00B54A76">
        <w:rPr>
          <w:rFonts w:ascii="Arial" w:hAnsi="Arial" w:cs="Arial"/>
        </w:rPr>
        <w:t>reviewed the system support structure for MyCareerHub following its full implementation, to ensure we were using the system to its full capability, capturing all departmental training and managing its growing system functionality</w:t>
      </w:r>
    </w:p>
    <w:p w:rsidR="0028598A" w:rsidRPr="00B54A76" w:rsidRDefault="00B625AF" w:rsidP="00D806AE">
      <w:pPr>
        <w:pStyle w:val="ListParagraph"/>
        <w:numPr>
          <w:ilvl w:val="0"/>
          <w:numId w:val="50"/>
        </w:numPr>
        <w:rPr>
          <w:rFonts w:ascii="Arial" w:hAnsi="Arial" w:cs="Arial"/>
        </w:rPr>
      </w:pPr>
      <w:r w:rsidRPr="00B54A76">
        <w:rPr>
          <w:rFonts w:ascii="Arial" w:hAnsi="Arial" w:cs="Arial"/>
        </w:rPr>
        <w:t>adopted and established a decentralised support model and a Learning Coordinator Network to cater to the department’s geographical and functional diversity</w:t>
      </w:r>
    </w:p>
    <w:p w:rsidR="0028598A" w:rsidRPr="00FA5596" w:rsidRDefault="00B625AF" w:rsidP="006F2791">
      <w:pPr>
        <w:pStyle w:val="ListParagraph"/>
        <w:numPr>
          <w:ilvl w:val="0"/>
          <w:numId w:val="50"/>
        </w:numPr>
        <w:rPr>
          <w:rFonts w:ascii="Arial" w:hAnsi="Arial" w:cs="Arial"/>
        </w:rPr>
      </w:pPr>
      <w:r w:rsidRPr="00FA5596">
        <w:rPr>
          <w:rFonts w:ascii="Arial" w:hAnsi="Arial" w:cs="Arial"/>
        </w:rPr>
        <w:t>granted MyCareerHub system access to existing users who regularly develop, administer and coordinate area-specific training, as well as provide system support to their</w:t>
      </w:r>
      <w:r w:rsidR="00B54A76" w:rsidRPr="00FA5596">
        <w:rPr>
          <w:rFonts w:ascii="Arial" w:hAnsi="Arial" w:cs="Arial"/>
        </w:rPr>
        <w:t xml:space="preserve"> </w:t>
      </w:r>
      <w:r w:rsidRPr="00FA5596">
        <w:rPr>
          <w:rFonts w:ascii="Arial" w:hAnsi="Arial" w:cs="Arial"/>
        </w:rPr>
        <w:t>respective divisions</w:t>
      </w:r>
    </w:p>
    <w:p w:rsidR="0028598A" w:rsidRPr="00B54A76" w:rsidRDefault="00B625AF" w:rsidP="00D806AE">
      <w:pPr>
        <w:pStyle w:val="ListParagraph"/>
        <w:numPr>
          <w:ilvl w:val="0"/>
          <w:numId w:val="50"/>
        </w:numPr>
        <w:rPr>
          <w:rFonts w:ascii="Arial" w:hAnsi="Arial" w:cs="Arial"/>
        </w:rPr>
      </w:pPr>
      <w:r w:rsidRPr="00B54A76">
        <w:rPr>
          <w:rFonts w:ascii="Arial" w:hAnsi="Arial" w:cs="Arial"/>
        </w:rPr>
        <w:t>adopted two existing learning management systems – MyCareer (former DSITI) and iLearn (Sport and Recreation) following machinery-of-government changes in December 2017, while we explore opportunities to consolidate all employees on a single LMS solution.</w:t>
      </w:r>
    </w:p>
    <w:p w:rsidR="0028598A" w:rsidRPr="00C96F1A" w:rsidRDefault="00B625AF" w:rsidP="008156BD">
      <w:pPr>
        <w:pStyle w:val="Heading6"/>
      </w:pPr>
      <w:r w:rsidRPr="00C96F1A">
        <w:t>Supporting work-life blend</w:t>
      </w:r>
    </w:p>
    <w:p w:rsidR="0028598A" w:rsidRPr="00C96F1A" w:rsidRDefault="00B625AF" w:rsidP="00C96F1A">
      <w:pPr>
        <w:rPr>
          <w:rFonts w:ascii="Arial" w:hAnsi="Arial" w:cs="Arial"/>
        </w:rPr>
      </w:pPr>
      <w:r w:rsidRPr="00C96F1A">
        <w:rPr>
          <w:rFonts w:ascii="Arial" w:hAnsi="Arial" w:cs="Arial"/>
        </w:rPr>
        <w:t>We continued to support flexible working arrangements through a range of flexible work possibilities.</w:t>
      </w:r>
    </w:p>
    <w:p w:rsidR="0028598A" w:rsidRPr="00C96F1A" w:rsidRDefault="00B625AF" w:rsidP="00C96F1A">
      <w:pPr>
        <w:rPr>
          <w:rFonts w:ascii="Arial" w:hAnsi="Arial" w:cs="Arial"/>
        </w:rPr>
      </w:pPr>
      <w:r w:rsidRPr="00C96F1A">
        <w:rPr>
          <w:rFonts w:ascii="Arial" w:hAnsi="Arial" w:cs="Arial"/>
        </w:rPr>
        <w:t>All staff have the right to request a flexible arrangement, related to the hours they work, the places they work and the types of arrangements they use, such as using a distributed work centre which allows employees to work from a designated office space that is closer to their home.</w:t>
      </w:r>
    </w:p>
    <w:p w:rsidR="0028598A" w:rsidRPr="00C96F1A" w:rsidRDefault="00B625AF" w:rsidP="00C96F1A">
      <w:pPr>
        <w:rPr>
          <w:rFonts w:ascii="Arial" w:hAnsi="Arial" w:cs="Arial"/>
        </w:rPr>
      </w:pPr>
      <w:r w:rsidRPr="00C96F1A">
        <w:rPr>
          <w:rFonts w:ascii="Arial" w:hAnsi="Arial" w:cs="Arial"/>
        </w:rPr>
        <w:t>Our Employee Assistance Service also continued to support employees to manage their work-life blend through professional coaching and support provided by face-to-face consultations, telephone and online counselling services.</w:t>
      </w:r>
    </w:p>
    <w:p w:rsidR="005D7744" w:rsidRDefault="005D7744">
      <w:pPr>
        <w:spacing w:before="0" w:after="0"/>
        <w:rPr>
          <w:rFonts w:cstheme="majorBidi"/>
          <w:b/>
          <w:bCs/>
          <w:szCs w:val="22"/>
        </w:rPr>
      </w:pPr>
      <w:r>
        <w:br w:type="page"/>
      </w:r>
    </w:p>
    <w:p w:rsidR="0028598A" w:rsidRPr="00C96F1A" w:rsidRDefault="00B625AF" w:rsidP="008156BD">
      <w:pPr>
        <w:pStyle w:val="Heading6"/>
      </w:pPr>
      <w:r w:rsidRPr="00C96F1A">
        <w:lastRenderedPageBreak/>
        <w:t>Workplace health, safety and wellbeing</w:t>
      </w:r>
    </w:p>
    <w:p w:rsidR="0028598A" w:rsidRPr="00C96F1A" w:rsidRDefault="00B625AF" w:rsidP="00C96F1A">
      <w:pPr>
        <w:rPr>
          <w:rFonts w:ascii="Arial" w:hAnsi="Arial" w:cs="Arial"/>
        </w:rPr>
      </w:pPr>
      <w:r w:rsidRPr="00C96F1A">
        <w:rPr>
          <w:rFonts w:ascii="Arial" w:hAnsi="Arial" w:cs="Arial"/>
        </w:rPr>
        <w:t>In addition to the five Queensland public sector values, a sixth</w:t>
      </w:r>
      <w:r w:rsidR="008156BD">
        <w:rPr>
          <w:rFonts w:ascii="Arial" w:hAnsi="Arial" w:cs="Arial"/>
        </w:rPr>
        <w:t xml:space="preserve"> </w:t>
      </w:r>
      <w:r w:rsidRPr="00C96F1A">
        <w:rPr>
          <w:rFonts w:ascii="Arial" w:hAnsi="Arial" w:cs="Arial"/>
        </w:rPr>
        <w:t>‘Healthy and Safe Workforce’ value continues to be a focus for us.</w:t>
      </w:r>
    </w:p>
    <w:p w:rsidR="0028598A" w:rsidRPr="00C96F1A" w:rsidRDefault="00B625AF" w:rsidP="00C96F1A">
      <w:pPr>
        <w:rPr>
          <w:rFonts w:ascii="Arial" w:hAnsi="Arial" w:cs="Arial"/>
        </w:rPr>
      </w:pPr>
      <w:r w:rsidRPr="00C96F1A">
        <w:rPr>
          <w:rFonts w:ascii="Arial" w:hAnsi="Arial" w:cs="Arial"/>
        </w:rPr>
        <w:t>In 2017–18, we:</w:t>
      </w:r>
    </w:p>
    <w:p w:rsidR="0028598A" w:rsidRPr="008156BD" w:rsidRDefault="00B625AF" w:rsidP="00D806AE">
      <w:pPr>
        <w:pStyle w:val="ListParagraph"/>
        <w:numPr>
          <w:ilvl w:val="0"/>
          <w:numId w:val="51"/>
        </w:numPr>
        <w:rPr>
          <w:rFonts w:ascii="Arial" w:hAnsi="Arial" w:cs="Arial"/>
        </w:rPr>
      </w:pPr>
      <w:r w:rsidRPr="008156BD">
        <w:rPr>
          <w:rFonts w:ascii="Arial" w:hAnsi="Arial" w:cs="Arial"/>
        </w:rPr>
        <w:t xml:space="preserve">continued to implement the </w:t>
      </w:r>
      <w:r w:rsidRPr="008156BD">
        <w:rPr>
          <w:rFonts w:ascii="Arial" w:hAnsi="Arial" w:cs="Arial"/>
          <w:i/>
        </w:rPr>
        <w:t>Healthy and Safe Workforce Action Plan 2018–20</w:t>
      </w:r>
      <w:r w:rsidRPr="008156BD">
        <w:rPr>
          <w:rFonts w:ascii="Arial" w:hAnsi="Arial" w:cs="Arial"/>
        </w:rPr>
        <w:t xml:space="preserve"> which focuses on improving workplace health and safety systems and culture to improve our overall workplace health and safety performance</w:t>
      </w:r>
    </w:p>
    <w:p w:rsidR="0028598A" w:rsidRPr="008156BD" w:rsidRDefault="00B625AF" w:rsidP="00D806AE">
      <w:pPr>
        <w:pStyle w:val="ListParagraph"/>
        <w:numPr>
          <w:ilvl w:val="0"/>
          <w:numId w:val="51"/>
        </w:numPr>
        <w:rPr>
          <w:rFonts w:ascii="Arial" w:hAnsi="Arial" w:cs="Arial"/>
        </w:rPr>
      </w:pPr>
      <w:r w:rsidRPr="008156BD">
        <w:rPr>
          <w:rFonts w:ascii="Arial" w:hAnsi="Arial" w:cs="Arial"/>
        </w:rPr>
        <w:t>had a reduction in worker’s compensation statutory costs</w:t>
      </w:r>
    </w:p>
    <w:p w:rsidR="0028598A" w:rsidRPr="008156BD" w:rsidRDefault="00B625AF" w:rsidP="00D806AE">
      <w:pPr>
        <w:pStyle w:val="ListParagraph"/>
        <w:numPr>
          <w:ilvl w:val="0"/>
          <w:numId w:val="51"/>
        </w:numPr>
        <w:rPr>
          <w:rFonts w:ascii="Arial" w:hAnsi="Arial" w:cs="Arial"/>
        </w:rPr>
      </w:pPr>
      <w:r w:rsidRPr="008156BD">
        <w:rPr>
          <w:rFonts w:ascii="Arial" w:hAnsi="Arial" w:cs="Arial"/>
        </w:rPr>
        <w:t>achieved White Ribbon Australia Workplace Accreditation, demonstrating our commitment to supporting employees affected by domestic and family violence</w:t>
      </w:r>
    </w:p>
    <w:p w:rsidR="0028598A" w:rsidRPr="008156BD" w:rsidRDefault="00B625AF" w:rsidP="00D806AE">
      <w:pPr>
        <w:pStyle w:val="ListParagraph"/>
        <w:numPr>
          <w:ilvl w:val="0"/>
          <w:numId w:val="51"/>
        </w:numPr>
        <w:rPr>
          <w:rFonts w:ascii="Arial" w:hAnsi="Arial" w:cs="Arial"/>
        </w:rPr>
      </w:pPr>
      <w:r w:rsidRPr="008156BD">
        <w:rPr>
          <w:rFonts w:ascii="Arial" w:hAnsi="Arial" w:cs="Arial"/>
        </w:rPr>
        <w:t>established the Workplace Health and Safety Sub-Committee to support our workplace health and safety strategic objectives</w:t>
      </w:r>
    </w:p>
    <w:p w:rsidR="0028598A" w:rsidRPr="008156BD" w:rsidRDefault="00B625AF" w:rsidP="00D806AE">
      <w:pPr>
        <w:pStyle w:val="ListParagraph"/>
        <w:numPr>
          <w:ilvl w:val="0"/>
          <w:numId w:val="51"/>
        </w:numPr>
        <w:rPr>
          <w:rFonts w:ascii="Arial" w:hAnsi="Arial" w:cs="Arial"/>
        </w:rPr>
      </w:pPr>
      <w:r w:rsidRPr="008156BD">
        <w:rPr>
          <w:rFonts w:ascii="Arial" w:hAnsi="Arial" w:cs="Arial"/>
        </w:rPr>
        <w:t>installed Automatic External Defibrillators in our workplaces</w:t>
      </w:r>
    </w:p>
    <w:p w:rsidR="0028598A" w:rsidRPr="008156BD" w:rsidRDefault="00B625AF" w:rsidP="00D806AE">
      <w:pPr>
        <w:pStyle w:val="ListParagraph"/>
        <w:numPr>
          <w:ilvl w:val="0"/>
          <w:numId w:val="51"/>
        </w:numPr>
        <w:rPr>
          <w:rFonts w:ascii="Arial" w:hAnsi="Arial" w:cs="Arial"/>
        </w:rPr>
      </w:pPr>
      <w:r w:rsidRPr="008156BD">
        <w:rPr>
          <w:rFonts w:ascii="Arial" w:hAnsi="Arial" w:cs="Arial"/>
        </w:rPr>
        <w:t xml:space="preserve">successfully recertified the Building and Asset Services safety management system to </w:t>
      </w:r>
      <w:r w:rsidRPr="008156BD">
        <w:rPr>
          <w:rFonts w:ascii="Arial" w:hAnsi="Arial" w:cs="Arial"/>
          <w:i/>
        </w:rPr>
        <w:t>AS/NZS 4801:2001 Occupational health and safety management systems</w:t>
      </w:r>
    </w:p>
    <w:p w:rsidR="0028598A" w:rsidRPr="008156BD" w:rsidRDefault="00B625AF" w:rsidP="00D806AE">
      <w:pPr>
        <w:pStyle w:val="ListParagraph"/>
        <w:numPr>
          <w:ilvl w:val="0"/>
          <w:numId w:val="51"/>
        </w:numPr>
        <w:rPr>
          <w:rFonts w:ascii="Arial" w:hAnsi="Arial" w:cs="Arial"/>
        </w:rPr>
      </w:pPr>
      <w:r w:rsidRPr="008156BD">
        <w:rPr>
          <w:rFonts w:ascii="Arial" w:hAnsi="Arial" w:cs="Arial"/>
        </w:rPr>
        <w:t>facilitated the completion of online workplace health and safety inductions for over 23,500 contractors engaged by Building and Asset Services</w:t>
      </w:r>
    </w:p>
    <w:p w:rsidR="0028598A" w:rsidRPr="008156BD" w:rsidRDefault="00B625AF" w:rsidP="00D806AE">
      <w:pPr>
        <w:pStyle w:val="ListParagraph"/>
        <w:numPr>
          <w:ilvl w:val="0"/>
          <w:numId w:val="51"/>
        </w:numPr>
        <w:rPr>
          <w:rFonts w:ascii="Arial" w:hAnsi="Arial" w:cs="Arial"/>
        </w:rPr>
      </w:pPr>
      <w:r w:rsidRPr="008156BD">
        <w:rPr>
          <w:rFonts w:ascii="Arial" w:hAnsi="Arial" w:cs="Arial"/>
        </w:rPr>
        <w:t>delivered Domestic and Family Violence training to over 50 per cent of our staff</w:t>
      </w:r>
    </w:p>
    <w:p w:rsidR="0028598A" w:rsidRPr="008156BD" w:rsidRDefault="00B625AF" w:rsidP="00D806AE">
      <w:pPr>
        <w:pStyle w:val="ListParagraph"/>
        <w:numPr>
          <w:ilvl w:val="0"/>
          <w:numId w:val="51"/>
        </w:numPr>
        <w:rPr>
          <w:rFonts w:ascii="Arial" w:hAnsi="Arial" w:cs="Arial"/>
        </w:rPr>
      </w:pPr>
      <w:r w:rsidRPr="008156BD">
        <w:rPr>
          <w:rFonts w:ascii="Arial" w:hAnsi="Arial" w:cs="Arial"/>
        </w:rPr>
        <w:t>conducted over 1,700 skin cancer checks</w:t>
      </w:r>
    </w:p>
    <w:p w:rsidR="0028598A" w:rsidRPr="008156BD" w:rsidRDefault="00B625AF" w:rsidP="00D806AE">
      <w:pPr>
        <w:pStyle w:val="ListParagraph"/>
        <w:numPr>
          <w:ilvl w:val="0"/>
          <w:numId w:val="51"/>
        </w:numPr>
        <w:rPr>
          <w:rFonts w:ascii="Arial" w:hAnsi="Arial" w:cs="Arial"/>
        </w:rPr>
      </w:pPr>
      <w:r w:rsidRPr="008156BD">
        <w:rPr>
          <w:rFonts w:ascii="Arial" w:hAnsi="Arial" w:cs="Arial"/>
        </w:rPr>
        <w:t>administered over 3,500 seasonal influenza vaccinations.</w:t>
      </w:r>
    </w:p>
    <w:p w:rsidR="0028598A" w:rsidRPr="00C96F1A" w:rsidRDefault="00B625AF" w:rsidP="008156BD">
      <w:pPr>
        <w:pStyle w:val="Heading6"/>
      </w:pPr>
      <w:r w:rsidRPr="00C96F1A">
        <w:t>Industrial and Employee Relations Framework</w:t>
      </w:r>
    </w:p>
    <w:p w:rsidR="0028598A" w:rsidRPr="00C96F1A" w:rsidRDefault="00B625AF" w:rsidP="00C96F1A">
      <w:pPr>
        <w:rPr>
          <w:rFonts w:ascii="Arial" w:hAnsi="Arial" w:cs="Arial"/>
        </w:rPr>
      </w:pPr>
      <w:r w:rsidRPr="00C96F1A">
        <w:rPr>
          <w:rFonts w:ascii="Arial" w:hAnsi="Arial" w:cs="Arial"/>
        </w:rPr>
        <w:t>There are four certified agreements covering employees in the</w:t>
      </w:r>
      <w:r w:rsidR="00FA5596">
        <w:rPr>
          <w:rFonts w:ascii="Arial" w:hAnsi="Arial" w:cs="Arial"/>
        </w:rPr>
        <w:t xml:space="preserve"> </w:t>
      </w:r>
      <w:r w:rsidRPr="00C96F1A">
        <w:rPr>
          <w:rFonts w:ascii="Arial" w:hAnsi="Arial" w:cs="Arial"/>
        </w:rPr>
        <w:t>department:</w:t>
      </w:r>
    </w:p>
    <w:p w:rsidR="0028598A" w:rsidRPr="008156BD" w:rsidRDefault="00B625AF" w:rsidP="00D806AE">
      <w:pPr>
        <w:pStyle w:val="ListParagraph"/>
        <w:numPr>
          <w:ilvl w:val="0"/>
          <w:numId w:val="52"/>
        </w:numPr>
        <w:rPr>
          <w:rFonts w:ascii="Arial" w:hAnsi="Arial" w:cs="Arial"/>
        </w:rPr>
      </w:pPr>
      <w:r w:rsidRPr="008156BD">
        <w:rPr>
          <w:rFonts w:ascii="Arial" w:hAnsi="Arial" w:cs="Arial"/>
          <w:i/>
        </w:rPr>
        <w:t xml:space="preserve">QBuild Field Staff Certified Agreement 8 (2011) </w:t>
      </w:r>
      <w:r w:rsidRPr="008156BD">
        <w:rPr>
          <w:rFonts w:ascii="Arial" w:hAnsi="Arial" w:cs="Arial"/>
        </w:rPr>
        <w:t>– covering</w:t>
      </w:r>
      <w:r w:rsidR="008156BD" w:rsidRPr="008156BD">
        <w:rPr>
          <w:rFonts w:ascii="Arial" w:hAnsi="Arial" w:cs="Arial"/>
        </w:rPr>
        <w:t xml:space="preserve"> </w:t>
      </w:r>
      <w:r w:rsidRPr="008156BD">
        <w:rPr>
          <w:rFonts w:ascii="Arial" w:hAnsi="Arial" w:cs="Arial"/>
        </w:rPr>
        <w:t>Building and Asset Services field staff</w:t>
      </w:r>
    </w:p>
    <w:p w:rsidR="0028598A" w:rsidRPr="008156BD" w:rsidRDefault="00B625AF" w:rsidP="00D806AE">
      <w:pPr>
        <w:pStyle w:val="ListParagraph"/>
        <w:numPr>
          <w:ilvl w:val="0"/>
          <w:numId w:val="52"/>
        </w:numPr>
        <w:rPr>
          <w:rFonts w:ascii="Arial" w:hAnsi="Arial" w:cs="Arial"/>
        </w:rPr>
      </w:pPr>
      <w:r w:rsidRPr="008156BD">
        <w:rPr>
          <w:rFonts w:ascii="Arial" w:hAnsi="Arial" w:cs="Arial"/>
          <w:i/>
        </w:rPr>
        <w:t>Building and Asset Services Office Staff Certified Agreement</w:t>
      </w:r>
      <w:r w:rsidR="008156BD" w:rsidRPr="008156BD">
        <w:rPr>
          <w:rFonts w:ascii="Arial" w:hAnsi="Arial" w:cs="Arial"/>
          <w:i/>
        </w:rPr>
        <w:t xml:space="preserve"> </w:t>
      </w:r>
      <w:r w:rsidRPr="008156BD">
        <w:rPr>
          <w:rFonts w:ascii="Arial" w:hAnsi="Arial" w:cs="Arial"/>
          <w:i/>
        </w:rPr>
        <w:t xml:space="preserve">2016 </w:t>
      </w:r>
      <w:r w:rsidRPr="008156BD">
        <w:rPr>
          <w:rFonts w:ascii="Arial" w:hAnsi="Arial" w:cs="Arial"/>
        </w:rPr>
        <w:t>– covering Building and Asset Services office staff</w:t>
      </w:r>
    </w:p>
    <w:p w:rsidR="0028598A" w:rsidRPr="008156BD" w:rsidRDefault="00B625AF" w:rsidP="00D806AE">
      <w:pPr>
        <w:pStyle w:val="ListParagraph"/>
        <w:numPr>
          <w:ilvl w:val="0"/>
          <w:numId w:val="52"/>
        </w:numPr>
        <w:rPr>
          <w:rFonts w:ascii="Arial" w:hAnsi="Arial" w:cs="Arial"/>
          <w:i/>
        </w:rPr>
      </w:pPr>
      <w:r w:rsidRPr="008156BD">
        <w:rPr>
          <w:rFonts w:ascii="Arial" w:hAnsi="Arial" w:cs="Arial"/>
          <w:i/>
        </w:rPr>
        <w:t xml:space="preserve">QFleet Certified Agreement 2016 </w:t>
      </w:r>
      <w:r w:rsidRPr="008156BD">
        <w:rPr>
          <w:rFonts w:ascii="Arial" w:hAnsi="Arial" w:cs="Arial"/>
        </w:rPr>
        <w:t>– covering QFleet staff</w:t>
      </w:r>
    </w:p>
    <w:p w:rsidR="0028598A" w:rsidRPr="008156BD" w:rsidRDefault="00B625AF" w:rsidP="00D806AE">
      <w:pPr>
        <w:pStyle w:val="ListParagraph"/>
        <w:numPr>
          <w:ilvl w:val="0"/>
          <w:numId w:val="52"/>
        </w:numPr>
        <w:rPr>
          <w:rFonts w:ascii="Arial" w:hAnsi="Arial" w:cs="Arial"/>
          <w:i/>
        </w:rPr>
      </w:pPr>
      <w:r w:rsidRPr="008156BD">
        <w:rPr>
          <w:rFonts w:ascii="Arial" w:hAnsi="Arial" w:cs="Arial"/>
          <w:i/>
        </w:rPr>
        <w:t xml:space="preserve">CITEC Certified Agreement 2016 </w:t>
      </w:r>
      <w:r w:rsidRPr="008156BD">
        <w:rPr>
          <w:rFonts w:ascii="Arial" w:hAnsi="Arial" w:cs="Arial"/>
        </w:rPr>
        <w:t>– covering CITEC staff</w:t>
      </w:r>
    </w:p>
    <w:p w:rsidR="0028598A" w:rsidRPr="008156BD" w:rsidRDefault="00B625AF" w:rsidP="00D806AE">
      <w:pPr>
        <w:pStyle w:val="ListParagraph"/>
        <w:numPr>
          <w:ilvl w:val="0"/>
          <w:numId w:val="52"/>
        </w:numPr>
        <w:rPr>
          <w:rFonts w:ascii="Arial" w:hAnsi="Arial" w:cs="Arial"/>
        </w:rPr>
      </w:pPr>
      <w:r w:rsidRPr="008156BD">
        <w:rPr>
          <w:rFonts w:ascii="Arial" w:hAnsi="Arial" w:cs="Arial"/>
          <w:i/>
        </w:rPr>
        <w:t xml:space="preserve">State Government Entities’ Certified Agreement 2015 (Core Agreement) </w:t>
      </w:r>
      <w:r w:rsidRPr="008156BD">
        <w:rPr>
          <w:rFonts w:ascii="Arial" w:hAnsi="Arial" w:cs="Arial"/>
        </w:rPr>
        <w:t>– covering the remainder of the department’s employees.</w:t>
      </w:r>
    </w:p>
    <w:p w:rsidR="0028598A" w:rsidRPr="00C96F1A" w:rsidRDefault="00B625AF" w:rsidP="00C96F1A">
      <w:pPr>
        <w:rPr>
          <w:rFonts w:ascii="Arial" w:hAnsi="Arial" w:cs="Arial"/>
        </w:rPr>
      </w:pPr>
      <w:r w:rsidRPr="00C96F1A">
        <w:rPr>
          <w:rFonts w:ascii="Arial" w:hAnsi="Arial" w:cs="Arial"/>
        </w:rPr>
        <w:t>During 2017–18, we continued to negotiate a replacement</w:t>
      </w:r>
      <w:r w:rsidR="00FC4034">
        <w:rPr>
          <w:rFonts w:ascii="Arial" w:hAnsi="Arial" w:cs="Arial"/>
        </w:rPr>
        <w:t xml:space="preserve"> </w:t>
      </w:r>
      <w:r w:rsidRPr="00C96F1A">
        <w:rPr>
          <w:rFonts w:ascii="Arial" w:hAnsi="Arial" w:cs="Arial"/>
        </w:rPr>
        <w:t>certified agreement for Building and Asset Services field staff.</w:t>
      </w:r>
    </w:p>
    <w:p w:rsidR="0028598A" w:rsidRPr="00C96F1A" w:rsidRDefault="00B625AF" w:rsidP="00C96F1A">
      <w:pPr>
        <w:rPr>
          <w:rFonts w:ascii="Arial" w:hAnsi="Arial" w:cs="Arial"/>
        </w:rPr>
      </w:pPr>
      <w:r w:rsidRPr="00C96F1A">
        <w:rPr>
          <w:rFonts w:ascii="Arial" w:hAnsi="Arial" w:cs="Arial"/>
        </w:rPr>
        <w:t>Throughout the year, we continued to actively implement the government’s policies on union encouragement and employment security.</w:t>
      </w:r>
    </w:p>
    <w:p w:rsidR="0028598A" w:rsidRPr="00C96F1A" w:rsidRDefault="00B625AF" w:rsidP="00C96F1A">
      <w:pPr>
        <w:rPr>
          <w:rFonts w:ascii="Arial" w:hAnsi="Arial" w:cs="Arial"/>
        </w:rPr>
      </w:pPr>
      <w:r w:rsidRPr="00C96F1A">
        <w:rPr>
          <w:rFonts w:ascii="Arial" w:hAnsi="Arial" w:cs="Arial"/>
        </w:rPr>
        <w:t>We also actively encourage unions in the workplace by:</w:t>
      </w:r>
    </w:p>
    <w:p w:rsidR="0028598A" w:rsidRPr="00FC4034" w:rsidRDefault="00B625AF" w:rsidP="00D806AE">
      <w:pPr>
        <w:pStyle w:val="ListParagraph"/>
        <w:numPr>
          <w:ilvl w:val="0"/>
          <w:numId w:val="53"/>
        </w:numPr>
        <w:rPr>
          <w:rFonts w:ascii="Arial" w:hAnsi="Arial" w:cs="Arial"/>
        </w:rPr>
      </w:pPr>
      <w:r w:rsidRPr="00FC4034">
        <w:rPr>
          <w:rFonts w:ascii="Arial" w:hAnsi="Arial" w:cs="Arial"/>
        </w:rPr>
        <w:t>providing information about unions to new employees</w:t>
      </w:r>
    </w:p>
    <w:p w:rsidR="0028598A" w:rsidRPr="00FC4034" w:rsidRDefault="00B625AF" w:rsidP="00D806AE">
      <w:pPr>
        <w:pStyle w:val="ListParagraph"/>
        <w:numPr>
          <w:ilvl w:val="0"/>
          <w:numId w:val="53"/>
        </w:numPr>
        <w:rPr>
          <w:rFonts w:ascii="Arial" w:hAnsi="Arial" w:cs="Arial"/>
        </w:rPr>
      </w:pPr>
      <w:r w:rsidRPr="00FC4034">
        <w:rPr>
          <w:rFonts w:ascii="Arial" w:hAnsi="Arial" w:cs="Arial"/>
        </w:rPr>
        <w:t>allowing employees full access to union delegates or officials</w:t>
      </w:r>
      <w:r w:rsidR="00FC4034" w:rsidRPr="00FC4034">
        <w:rPr>
          <w:rFonts w:ascii="Arial" w:hAnsi="Arial" w:cs="Arial"/>
        </w:rPr>
        <w:t xml:space="preserve"> </w:t>
      </w:r>
      <w:r w:rsidRPr="00FC4034">
        <w:rPr>
          <w:rFonts w:ascii="Arial" w:hAnsi="Arial" w:cs="Arial"/>
        </w:rPr>
        <w:t>during work hours</w:t>
      </w:r>
    </w:p>
    <w:p w:rsidR="0028598A" w:rsidRPr="00FC4034" w:rsidRDefault="00B625AF" w:rsidP="00D806AE">
      <w:pPr>
        <w:pStyle w:val="ListParagraph"/>
        <w:numPr>
          <w:ilvl w:val="0"/>
          <w:numId w:val="53"/>
        </w:numPr>
        <w:rPr>
          <w:rFonts w:ascii="Arial" w:hAnsi="Arial" w:cs="Arial"/>
        </w:rPr>
      </w:pPr>
      <w:r w:rsidRPr="00FC4034">
        <w:rPr>
          <w:rFonts w:ascii="Arial" w:hAnsi="Arial" w:cs="Arial"/>
        </w:rPr>
        <w:t>acknowledging the role the union delegates have to play within the workplace through continued operation of consultative committees at the agency and local work unit level.</w:t>
      </w:r>
    </w:p>
    <w:p w:rsidR="0028598A" w:rsidRPr="00C96F1A" w:rsidRDefault="00B625AF" w:rsidP="00C96F1A">
      <w:pPr>
        <w:rPr>
          <w:rFonts w:ascii="Arial" w:hAnsi="Arial" w:cs="Arial"/>
        </w:rPr>
      </w:pPr>
      <w:r w:rsidRPr="00C96F1A">
        <w:rPr>
          <w:rFonts w:ascii="Arial" w:hAnsi="Arial" w:cs="Arial"/>
        </w:rPr>
        <w:lastRenderedPageBreak/>
        <w:t>Our department has also actively supported employment security by maximising permanent employment through the continued conversion of temporary employees to permanent, where possible. We also actively consult with unions about organisational change and restructuring.</w:t>
      </w:r>
    </w:p>
    <w:p w:rsidR="0028598A" w:rsidRPr="00C96F1A" w:rsidRDefault="00B625AF" w:rsidP="00FC4034">
      <w:pPr>
        <w:pStyle w:val="Heading6"/>
      </w:pPr>
      <w:r w:rsidRPr="00C96F1A">
        <w:t>Early retirement, redundancy and retrenchment</w:t>
      </w:r>
    </w:p>
    <w:p w:rsidR="0028598A" w:rsidRPr="00C96F1A" w:rsidRDefault="00B625AF" w:rsidP="00C96F1A">
      <w:pPr>
        <w:rPr>
          <w:rFonts w:ascii="Arial" w:hAnsi="Arial" w:cs="Arial"/>
        </w:rPr>
      </w:pPr>
      <w:r w:rsidRPr="00C96F1A">
        <w:rPr>
          <w:rFonts w:ascii="Arial" w:hAnsi="Arial" w:cs="Arial"/>
        </w:rPr>
        <w:t>During 2017–18, there was no redundancy cost</w:t>
      </w:r>
      <w:r w:rsidR="00FA5596">
        <w:rPr>
          <w:rFonts w:ascii="Arial" w:hAnsi="Arial" w:cs="Arial"/>
        </w:rPr>
        <w:t>s</w:t>
      </w:r>
      <w:r w:rsidRPr="00C96F1A">
        <w:rPr>
          <w:rFonts w:ascii="Arial" w:hAnsi="Arial" w:cs="Arial"/>
        </w:rPr>
        <w:t xml:space="preserve"> to our department.</w:t>
      </w:r>
    </w:p>
    <w:p w:rsidR="0028598A" w:rsidRPr="00C96F1A" w:rsidRDefault="0028598A" w:rsidP="00C96F1A">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06"/>
        <w:gridCol w:w="1654"/>
        <w:gridCol w:w="1562"/>
        <w:gridCol w:w="1510"/>
        <w:gridCol w:w="1508"/>
      </w:tblGrid>
      <w:tr w:rsidR="00FC4034" w:rsidRPr="000D516E" w:rsidTr="00FC4034">
        <w:trPr>
          <w:trHeight w:val="60"/>
        </w:trPr>
        <w:tc>
          <w:tcPr>
            <w:tcW w:w="1800" w:type="pct"/>
            <w:shd w:val="clear" w:color="auto" w:fill="auto"/>
            <w:tcMar>
              <w:top w:w="80" w:type="dxa"/>
              <w:left w:w="80" w:type="dxa"/>
              <w:bottom w:w="80" w:type="dxa"/>
              <w:right w:w="80" w:type="dxa"/>
            </w:tcMar>
          </w:tcPr>
          <w:p w:rsidR="00FC4034" w:rsidRPr="00CE1C14" w:rsidRDefault="00FC4034" w:rsidP="005F7F92">
            <w:pPr>
              <w:rPr>
                <w:rFonts w:ascii="MetaNormalLF-Roman" w:eastAsia="MetaNormalLF-Roman" w:hAnsi="MetaNormalLF-Roman" w:cs="MetaNormalLF-Roman"/>
                <w:b/>
                <w:bCs/>
                <w:color w:val="000000" w:themeColor="text1"/>
                <w:lang w:val="en-US"/>
              </w:rPr>
            </w:pPr>
            <w:r w:rsidRPr="003111AC">
              <w:rPr>
                <w:b/>
                <w:bCs/>
                <w:color w:val="000000" w:themeColor="text1"/>
                <w:lang w:val="en-US"/>
              </w:rPr>
              <w:t>Question</w:t>
            </w:r>
          </w:p>
        </w:tc>
        <w:tc>
          <w:tcPr>
            <w:tcW w:w="849" w:type="pct"/>
            <w:shd w:val="clear" w:color="auto" w:fill="auto"/>
            <w:tcMar>
              <w:top w:w="80" w:type="dxa"/>
              <w:left w:w="80" w:type="dxa"/>
              <w:bottom w:w="80" w:type="dxa"/>
              <w:right w:w="80" w:type="dxa"/>
            </w:tcMar>
          </w:tcPr>
          <w:p w:rsidR="00FC4034" w:rsidRPr="00CE1C14" w:rsidRDefault="00FC4034" w:rsidP="005F7F92">
            <w:pPr>
              <w:rPr>
                <w:rFonts w:ascii="MetaNormalLF-Roman" w:eastAsia="MetaNormalLF-Roman" w:hAnsi="MetaNormalLF-Roman" w:cs="MetaNormalLF-Roman"/>
                <w:b/>
                <w:bCs/>
                <w:color w:val="000000" w:themeColor="text1"/>
                <w:lang w:val="en-US"/>
              </w:rPr>
            </w:pPr>
            <w:r w:rsidRPr="003111AC">
              <w:rPr>
                <w:b/>
                <w:bCs/>
                <w:color w:val="000000" w:themeColor="text1"/>
                <w:lang w:val="en-US"/>
              </w:rPr>
              <w:t>2014</w:t>
            </w:r>
          </w:p>
        </w:tc>
        <w:tc>
          <w:tcPr>
            <w:tcW w:w="802" w:type="pct"/>
            <w:shd w:val="clear" w:color="auto" w:fill="auto"/>
            <w:tcMar>
              <w:top w:w="80" w:type="dxa"/>
              <w:left w:w="80" w:type="dxa"/>
              <w:bottom w:w="80" w:type="dxa"/>
              <w:right w:w="80" w:type="dxa"/>
            </w:tcMar>
          </w:tcPr>
          <w:p w:rsidR="00FC4034" w:rsidRPr="00CE1C14" w:rsidRDefault="00FC4034" w:rsidP="005F7F92">
            <w:pPr>
              <w:rPr>
                <w:rFonts w:ascii="MetaNormalLF-Roman" w:eastAsia="MetaNormalLF-Roman" w:hAnsi="MetaNormalLF-Roman" w:cs="MetaNormalLF-Roman"/>
                <w:b/>
                <w:bCs/>
                <w:color w:val="000000" w:themeColor="text1"/>
                <w:lang w:val="en-US"/>
              </w:rPr>
            </w:pPr>
            <w:r w:rsidRPr="003111AC">
              <w:rPr>
                <w:b/>
                <w:bCs/>
                <w:color w:val="000000" w:themeColor="text1"/>
                <w:lang w:val="en-US"/>
              </w:rPr>
              <w:t>2015</w:t>
            </w:r>
          </w:p>
        </w:tc>
        <w:tc>
          <w:tcPr>
            <w:tcW w:w="775" w:type="pct"/>
            <w:shd w:val="clear" w:color="auto" w:fill="auto"/>
            <w:tcMar>
              <w:top w:w="80" w:type="dxa"/>
              <w:left w:w="80" w:type="dxa"/>
              <w:bottom w:w="80" w:type="dxa"/>
              <w:right w:w="80" w:type="dxa"/>
            </w:tcMar>
          </w:tcPr>
          <w:p w:rsidR="00FC4034" w:rsidRPr="00CE1C14" w:rsidRDefault="00FC4034" w:rsidP="005F7F92">
            <w:pPr>
              <w:rPr>
                <w:rFonts w:ascii="MetaNormalLF-Roman" w:eastAsia="MetaNormalLF-Roman" w:hAnsi="MetaNormalLF-Roman" w:cs="MetaNormalLF-Roman"/>
                <w:b/>
                <w:bCs/>
                <w:color w:val="000000" w:themeColor="text1"/>
                <w:lang w:val="en-US"/>
              </w:rPr>
            </w:pPr>
            <w:r w:rsidRPr="003111AC">
              <w:rPr>
                <w:b/>
                <w:bCs/>
                <w:color w:val="000000" w:themeColor="text1"/>
                <w:lang w:val="en-US"/>
              </w:rPr>
              <w:t>2016</w:t>
            </w:r>
          </w:p>
        </w:tc>
        <w:tc>
          <w:tcPr>
            <w:tcW w:w="774" w:type="pct"/>
            <w:shd w:val="clear" w:color="auto" w:fill="auto"/>
          </w:tcPr>
          <w:p w:rsidR="00FC4034" w:rsidRPr="00CE1C14" w:rsidRDefault="00FC4034" w:rsidP="005F7F92">
            <w:pPr>
              <w:rPr>
                <w:b/>
                <w:bCs/>
                <w:color w:val="000000" w:themeColor="text1"/>
                <w:lang w:val="en-US"/>
              </w:rPr>
            </w:pPr>
            <w:r w:rsidRPr="003111AC">
              <w:rPr>
                <w:b/>
                <w:bCs/>
                <w:color w:val="000000" w:themeColor="text1"/>
                <w:lang w:val="en-US"/>
              </w:rPr>
              <w:t>2017</w:t>
            </w:r>
          </w:p>
        </w:tc>
      </w:tr>
      <w:tr w:rsidR="00FC4034" w:rsidRPr="000D516E" w:rsidTr="00FC4034">
        <w:trPr>
          <w:trHeight w:val="60"/>
        </w:trPr>
        <w:tc>
          <w:tcPr>
            <w:tcW w:w="1800" w:type="pct"/>
            <w:shd w:val="clear" w:color="auto" w:fill="auto"/>
            <w:tcMar>
              <w:top w:w="80" w:type="dxa"/>
              <w:left w:w="80" w:type="dxa"/>
              <w:bottom w:w="80" w:type="dxa"/>
              <w:right w:w="80" w:type="dxa"/>
            </w:tcMar>
          </w:tcPr>
          <w:p w:rsidR="00FC4034" w:rsidRPr="002309A2" w:rsidRDefault="00FC4034" w:rsidP="005F7F92">
            <w:pPr>
              <w:rPr>
                <w:color w:val="000000" w:themeColor="text1"/>
                <w:lang w:val="en-US"/>
              </w:rPr>
            </w:pPr>
            <w:r w:rsidRPr="002309A2">
              <w:rPr>
                <w:color w:val="000000" w:themeColor="text1"/>
                <w:lang w:val="en-US"/>
              </w:rPr>
              <w:t>There is adequate focus on workplace safety at my workplace</w:t>
            </w:r>
          </w:p>
        </w:tc>
        <w:tc>
          <w:tcPr>
            <w:tcW w:w="849" w:type="pct"/>
            <w:shd w:val="clear" w:color="auto" w:fill="auto"/>
            <w:tcMar>
              <w:top w:w="80" w:type="dxa"/>
              <w:left w:w="80" w:type="dxa"/>
              <w:bottom w:w="80" w:type="dxa"/>
              <w:right w:w="80" w:type="dxa"/>
            </w:tcMar>
          </w:tcPr>
          <w:p w:rsidR="00FC4034" w:rsidRPr="002309A2" w:rsidRDefault="00FC4034" w:rsidP="005F7F92">
            <w:pPr>
              <w:rPr>
                <w:color w:val="000000" w:themeColor="text1"/>
                <w:lang w:val="en-US"/>
              </w:rPr>
            </w:pPr>
            <w:r w:rsidRPr="002309A2">
              <w:rPr>
                <w:color w:val="000000" w:themeColor="text1"/>
                <w:lang w:val="en-US"/>
              </w:rPr>
              <w:t>81%</w:t>
            </w:r>
          </w:p>
        </w:tc>
        <w:tc>
          <w:tcPr>
            <w:tcW w:w="802" w:type="pct"/>
            <w:shd w:val="clear" w:color="auto" w:fill="auto"/>
            <w:tcMar>
              <w:top w:w="80" w:type="dxa"/>
              <w:left w:w="80" w:type="dxa"/>
              <w:bottom w:w="80" w:type="dxa"/>
              <w:right w:w="80" w:type="dxa"/>
            </w:tcMar>
          </w:tcPr>
          <w:p w:rsidR="00FC4034" w:rsidRPr="002309A2" w:rsidRDefault="00FC4034" w:rsidP="005F7F92">
            <w:pPr>
              <w:rPr>
                <w:color w:val="000000" w:themeColor="text1"/>
                <w:lang w:val="en-US"/>
              </w:rPr>
            </w:pPr>
            <w:r w:rsidRPr="002309A2">
              <w:rPr>
                <w:color w:val="000000" w:themeColor="text1"/>
                <w:lang w:val="en-US"/>
              </w:rPr>
              <w:t>85%</w:t>
            </w:r>
          </w:p>
        </w:tc>
        <w:tc>
          <w:tcPr>
            <w:tcW w:w="775" w:type="pct"/>
            <w:shd w:val="clear" w:color="auto" w:fill="auto"/>
            <w:tcMar>
              <w:top w:w="80" w:type="dxa"/>
              <w:left w:w="80" w:type="dxa"/>
              <w:bottom w:w="80" w:type="dxa"/>
              <w:right w:w="80" w:type="dxa"/>
            </w:tcMar>
          </w:tcPr>
          <w:p w:rsidR="00FC4034" w:rsidRPr="002309A2" w:rsidRDefault="00FC4034" w:rsidP="005F7F92">
            <w:pPr>
              <w:rPr>
                <w:color w:val="000000" w:themeColor="text1"/>
                <w:lang w:val="en-US"/>
              </w:rPr>
            </w:pPr>
            <w:r w:rsidRPr="002309A2">
              <w:rPr>
                <w:color w:val="000000" w:themeColor="text1"/>
                <w:lang w:val="en-US"/>
              </w:rPr>
              <w:t>84%</w:t>
            </w:r>
          </w:p>
        </w:tc>
        <w:tc>
          <w:tcPr>
            <w:tcW w:w="774" w:type="pct"/>
            <w:shd w:val="clear" w:color="auto" w:fill="auto"/>
          </w:tcPr>
          <w:p w:rsidR="00FC4034" w:rsidRPr="002309A2" w:rsidRDefault="00FC4034" w:rsidP="005F7F92">
            <w:pPr>
              <w:rPr>
                <w:color w:val="000000" w:themeColor="text1"/>
                <w:lang w:val="en-US"/>
              </w:rPr>
            </w:pPr>
            <w:r w:rsidRPr="002309A2">
              <w:rPr>
                <w:color w:val="000000" w:themeColor="text1"/>
                <w:lang w:val="en-US"/>
              </w:rPr>
              <w:t>85%</w:t>
            </w:r>
          </w:p>
        </w:tc>
      </w:tr>
      <w:tr w:rsidR="00FC4034" w:rsidRPr="000D516E" w:rsidTr="00FC4034">
        <w:trPr>
          <w:trHeight w:val="60"/>
        </w:trPr>
        <w:tc>
          <w:tcPr>
            <w:tcW w:w="1800" w:type="pct"/>
            <w:shd w:val="clear" w:color="auto" w:fill="auto"/>
            <w:tcMar>
              <w:top w:w="80" w:type="dxa"/>
              <w:left w:w="80" w:type="dxa"/>
              <w:bottom w:w="80" w:type="dxa"/>
              <w:right w:w="80" w:type="dxa"/>
            </w:tcMar>
          </w:tcPr>
          <w:p w:rsidR="00FC4034" w:rsidRPr="002309A2" w:rsidRDefault="00FC4034" w:rsidP="005F7F92">
            <w:pPr>
              <w:rPr>
                <w:color w:val="000000" w:themeColor="text1"/>
                <w:lang w:val="en-US"/>
              </w:rPr>
            </w:pPr>
            <w:r w:rsidRPr="002309A2">
              <w:rPr>
                <w:color w:val="000000" w:themeColor="text1"/>
                <w:lang w:val="en-US"/>
              </w:rPr>
              <w:t>People in my workgroup are committed to workplace safety</w:t>
            </w:r>
          </w:p>
        </w:tc>
        <w:tc>
          <w:tcPr>
            <w:tcW w:w="849" w:type="pct"/>
            <w:shd w:val="clear" w:color="auto" w:fill="auto"/>
            <w:tcMar>
              <w:top w:w="80" w:type="dxa"/>
              <w:left w:w="80" w:type="dxa"/>
              <w:bottom w:w="80" w:type="dxa"/>
              <w:right w:w="80" w:type="dxa"/>
            </w:tcMar>
          </w:tcPr>
          <w:p w:rsidR="00FC4034" w:rsidRPr="002309A2" w:rsidRDefault="00FC4034" w:rsidP="005F7F92">
            <w:pPr>
              <w:rPr>
                <w:color w:val="000000" w:themeColor="text1"/>
                <w:lang w:val="en-US"/>
              </w:rPr>
            </w:pPr>
            <w:r w:rsidRPr="002309A2">
              <w:rPr>
                <w:color w:val="000000" w:themeColor="text1"/>
                <w:lang w:val="en-US"/>
              </w:rPr>
              <w:t>85%</w:t>
            </w:r>
          </w:p>
        </w:tc>
        <w:tc>
          <w:tcPr>
            <w:tcW w:w="802" w:type="pct"/>
            <w:shd w:val="clear" w:color="auto" w:fill="auto"/>
            <w:tcMar>
              <w:top w:w="80" w:type="dxa"/>
              <w:left w:w="80" w:type="dxa"/>
              <w:bottom w:w="80" w:type="dxa"/>
              <w:right w:w="80" w:type="dxa"/>
            </w:tcMar>
          </w:tcPr>
          <w:p w:rsidR="00FC4034" w:rsidRPr="002309A2" w:rsidRDefault="00FC4034" w:rsidP="005F7F92">
            <w:pPr>
              <w:rPr>
                <w:color w:val="000000" w:themeColor="text1"/>
                <w:lang w:val="en-US"/>
              </w:rPr>
            </w:pPr>
            <w:r w:rsidRPr="002309A2">
              <w:rPr>
                <w:color w:val="000000" w:themeColor="text1"/>
                <w:lang w:val="en-US"/>
              </w:rPr>
              <w:t>87%</w:t>
            </w:r>
          </w:p>
        </w:tc>
        <w:tc>
          <w:tcPr>
            <w:tcW w:w="775" w:type="pct"/>
            <w:shd w:val="clear" w:color="auto" w:fill="auto"/>
            <w:tcMar>
              <w:top w:w="80" w:type="dxa"/>
              <w:left w:w="80" w:type="dxa"/>
              <w:bottom w:w="80" w:type="dxa"/>
              <w:right w:w="80" w:type="dxa"/>
            </w:tcMar>
          </w:tcPr>
          <w:p w:rsidR="00FC4034" w:rsidRPr="002309A2" w:rsidRDefault="00FC4034" w:rsidP="005F7F92">
            <w:pPr>
              <w:rPr>
                <w:color w:val="000000" w:themeColor="text1"/>
                <w:lang w:val="en-US"/>
              </w:rPr>
            </w:pPr>
            <w:r w:rsidRPr="002309A2">
              <w:rPr>
                <w:color w:val="000000" w:themeColor="text1"/>
                <w:lang w:val="en-US"/>
              </w:rPr>
              <w:t>86%</w:t>
            </w:r>
          </w:p>
        </w:tc>
        <w:tc>
          <w:tcPr>
            <w:tcW w:w="774" w:type="pct"/>
            <w:shd w:val="clear" w:color="auto" w:fill="auto"/>
          </w:tcPr>
          <w:p w:rsidR="00FC4034" w:rsidRPr="002309A2" w:rsidRDefault="00FC4034" w:rsidP="005F7F92">
            <w:pPr>
              <w:rPr>
                <w:color w:val="000000" w:themeColor="text1"/>
                <w:lang w:val="en-US"/>
              </w:rPr>
            </w:pPr>
            <w:r w:rsidRPr="002309A2">
              <w:rPr>
                <w:color w:val="000000" w:themeColor="text1"/>
                <w:lang w:val="en-US"/>
              </w:rPr>
              <w:t>87%</w:t>
            </w:r>
          </w:p>
        </w:tc>
      </w:tr>
    </w:tbl>
    <w:p w:rsidR="0028598A" w:rsidRPr="00C96F1A" w:rsidRDefault="0028598A" w:rsidP="00C96F1A">
      <w:pPr>
        <w:rPr>
          <w:rFonts w:ascii="Arial" w:hAnsi="Arial" w:cs="Arial"/>
        </w:rPr>
      </w:pPr>
    </w:p>
    <w:p w:rsidR="0028598A" w:rsidRPr="00C96F1A" w:rsidRDefault="00B625AF" w:rsidP="00FC4034">
      <w:pPr>
        <w:pStyle w:val="Heading6"/>
      </w:pPr>
      <w:r w:rsidRPr="00C96F1A">
        <w:t>Code of Conduct</w:t>
      </w:r>
    </w:p>
    <w:p w:rsidR="0028598A" w:rsidRPr="00C96F1A" w:rsidRDefault="00B625AF" w:rsidP="00C96F1A">
      <w:pPr>
        <w:rPr>
          <w:rFonts w:ascii="Arial" w:hAnsi="Arial" w:cs="Arial"/>
        </w:rPr>
      </w:pPr>
      <w:r w:rsidRPr="00C96F1A">
        <w:rPr>
          <w:rFonts w:ascii="Arial" w:hAnsi="Arial" w:cs="Arial"/>
        </w:rPr>
        <w:t xml:space="preserve">The </w:t>
      </w:r>
      <w:r w:rsidRPr="00FA5596">
        <w:rPr>
          <w:rFonts w:ascii="Arial" w:hAnsi="Arial" w:cs="Arial"/>
          <w:i/>
        </w:rPr>
        <w:t>Code of Conduct for the Queensland Public Service</w:t>
      </w:r>
      <w:r w:rsidRPr="00C96F1A">
        <w:rPr>
          <w:rFonts w:ascii="Arial" w:hAnsi="Arial" w:cs="Arial"/>
        </w:rPr>
        <w:t xml:space="preserve"> sets out the standards of behaviour that apply to all employees.</w:t>
      </w:r>
    </w:p>
    <w:p w:rsidR="0028598A" w:rsidRPr="00C96F1A" w:rsidRDefault="00B625AF" w:rsidP="00C96F1A">
      <w:pPr>
        <w:rPr>
          <w:rFonts w:ascii="Arial" w:hAnsi="Arial" w:cs="Arial"/>
        </w:rPr>
      </w:pPr>
      <w:r w:rsidRPr="00C96F1A">
        <w:rPr>
          <w:rFonts w:ascii="Arial" w:hAnsi="Arial" w:cs="Arial"/>
        </w:rPr>
        <w:t>The Code of Conduct also applies to volunteers, students, and on-hired personnel who perform work in any capacity for the department.</w:t>
      </w:r>
    </w:p>
    <w:p w:rsidR="0028598A" w:rsidRPr="00C96F1A" w:rsidRDefault="00B625AF" w:rsidP="00C96F1A">
      <w:pPr>
        <w:rPr>
          <w:rFonts w:ascii="Arial" w:hAnsi="Arial" w:cs="Arial"/>
        </w:rPr>
      </w:pPr>
      <w:r w:rsidRPr="00C96F1A">
        <w:rPr>
          <w:rFonts w:ascii="Arial" w:hAnsi="Arial" w:cs="Arial"/>
        </w:rPr>
        <w:t>During 2017–18, we continued to train all employees on the Code of Conduct during induction and then annually thereafter. Our department also provides workplace behaviour training to staff which aligns with the standard of behaviour outlined in the Code of Conduct.</w:t>
      </w:r>
    </w:p>
    <w:p w:rsidR="0028598A" w:rsidRPr="00C96F1A" w:rsidRDefault="00B625AF" w:rsidP="00C96F1A">
      <w:pPr>
        <w:rPr>
          <w:rFonts w:ascii="Arial" w:hAnsi="Arial" w:cs="Arial"/>
        </w:rPr>
      </w:pPr>
      <w:r w:rsidRPr="00C96F1A">
        <w:rPr>
          <w:rFonts w:ascii="Arial" w:hAnsi="Arial" w:cs="Arial"/>
        </w:rPr>
        <w:t>Volunteers, students, and on-hired personnel also trained on the Code of Conduct during induction.</w:t>
      </w:r>
    </w:p>
    <w:p w:rsidR="0028598A" w:rsidRPr="00C96F1A" w:rsidRDefault="00B625AF" w:rsidP="00FC4034">
      <w:pPr>
        <w:pStyle w:val="Heading6"/>
      </w:pPr>
      <w:r w:rsidRPr="00C96F1A">
        <w:t>Celebrating achievements</w:t>
      </w:r>
    </w:p>
    <w:p w:rsidR="0028598A" w:rsidRPr="00C96F1A" w:rsidRDefault="00B625AF" w:rsidP="00C96F1A">
      <w:pPr>
        <w:rPr>
          <w:rFonts w:ascii="Arial" w:hAnsi="Arial" w:cs="Arial"/>
        </w:rPr>
      </w:pPr>
      <w:r w:rsidRPr="00C96F1A">
        <w:rPr>
          <w:rFonts w:ascii="Arial" w:hAnsi="Arial" w:cs="Arial"/>
        </w:rPr>
        <w:t>The achievements of staff were celebrated throughout the year, through a series of formal and informal events including:</w:t>
      </w:r>
    </w:p>
    <w:p w:rsidR="0028598A" w:rsidRPr="00FC4034" w:rsidRDefault="00B625AF" w:rsidP="00D806AE">
      <w:pPr>
        <w:pStyle w:val="ListParagraph"/>
        <w:numPr>
          <w:ilvl w:val="0"/>
          <w:numId w:val="54"/>
        </w:numPr>
        <w:rPr>
          <w:rFonts w:ascii="Arial" w:hAnsi="Arial" w:cs="Arial"/>
        </w:rPr>
      </w:pPr>
      <w:r w:rsidRPr="00FC4034">
        <w:rPr>
          <w:rFonts w:ascii="Arial" w:hAnsi="Arial" w:cs="Arial"/>
        </w:rPr>
        <w:t>divisional awards ceremonies</w:t>
      </w:r>
    </w:p>
    <w:p w:rsidR="0028598A" w:rsidRPr="00FC4034" w:rsidRDefault="00B625AF" w:rsidP="00D806AE">
      <w:pPr>
        <w:pStyle w:val="ListParagraph"/>
        <w:numPr>
          <w:ilvl w:val="0"/>
          <w:numId w:val="54"/>
        </w:numPr>
        <w:rPr>
          <w:rFonts w:ascii="Arial" w:hAnsi="Arial" w:cs="Arial"/>
        </w:rPr>
      </w:pPr>
      <w:r w:rsidRPr="00FC4034">
        <w:rPr>
          <w:rFonts w:ascii="Arial" w:hAnsi="Arial" w:cs="Arial"/>
        </w:rPr>
        <w:t>departmental Recognition of Excellence Awards ceremony (held on 27 October 2017)</w:t>
      </w:r>
    </w:p>
    <w:p w:rsidR="0028598A" w:rsidRPr="00FC4034" w:rsidRDefault="00B625AF" w:rsidP="00D806AE">
      <w:pPr>
        <w:pStyle w:val="ListParagraph"/>
        <w:numPr>
          <w:ilvl w:val="0"/>
          <w:numId w:val="54"/>
        </w:numPr>
        <w:rPr>
          <w:rFonts w:ascii="Arial" w:hAnsi="Arial" w:cs="Arial"/>
        </w:rPr>
      </w:pPr>
      <w:r w:rsidRPr="00FC4034">
        <w:rPr>
          <w:rFonts w:ascii="Arial" w:hAnsi="Arial" w:cs="Arial"/>
        </w:rPr>
        <w:t>Australia Day Achievement Awards ceremony (held on 26 January 2018)</w:t>
      </w:r>
    </w:p>
    <w:p w:rsidR="0028598A" w:rsidRPr="00FC4034" w:rsidRDefault="00B625AF" w:rsidP="00D806AE">
      <w:pPr>
        <w:pStyle w:val="ListParagraph"/>
        <w:numPr>
          <w:ilvl w:val="0"/>
          <w:numId w:val="54"/>
        </w:numPr>
        <w:rPr>
          <w:rFonts w:ascii="Arial" w:hAnsi="Arial" w:cs="Arial"/>
        </w:rPr>
      </w:pPr>
      <w:r w:rsidRPr="00FC4034">
        <w:rPr>
          <w:rFonts w:ascii="Arial" w:hAnsi="Arial" w:cs="Arial"/>
        </w:rPr>
        <w:t>National Aboriginal and Islanders Day Observance Committee (NAIDOC) Awards ceremony (held on 4 July 2017).</w:t>
      </w:r>
    </w:p>
    <w:p w:rsidR="005D7744" w:rsidRDefault="005D7744">
      <w:pPr>
        <w:spacing w:before="0" w:after="0"/>
        <w:rPr>
          <w:rFonts w:cstheme="majorBidi"/>
          <w:b/>
          <w:bCs/>
          <w:szCs w:val="22"/>
        </w:rPr>
      </w:pPr>
      <w:r>
        <w:br w:type="page"/>
      </w:r>
    </w:p>
    <w:p w:rsidR="0028598A" w:rsidRPr="00C96F1A" w:rsidRDefault="00B625AF" w:rsidP="00FC4034">
      <w:pPr>
        <w:pStyle w:val="Heading6"/>
      </w:pPr>
      <w:r w:rsidRPr="00C96F1A">
        <w:lastRenderedPageBreak/>
        <w:t>Special events</w:t>
      </w:r>
    </w:p>
    <w:p w:rsidR="0028598A" w:rsidRPr="00C96F1A" w:rsidRDefault="00B625AF" w:rsidP="00C96F1A">
      <w:pPr>
        <w:rPr>
          <w:rFonts w:ascii="Arial" w:hAnsi="Arial" w:cs="Arial"/>
        </w:rPr>
      </w:pPr>
      <w:r w:rsidRPr="00C96F1A">
        <w:rPr>
          <w:rFonts w:ascii="Arial" w:hAnsi="Arial" w:cs="Arial"/>
        </w:rPr>
        <w:t>We also celebrated a number of special events and observances. In 2017–18, we:</w:t>
      </w:r>
    </w:p>
    <w:p w:rsidR="0028598A" w:rsidRPr="00B54A76" w:rsidRDefault="00B625AF" w:rsidP="00D806AE">
      <w:pPr>
        <w:pStyle w:val="ListParagraph"/>
        <w:numPr>
          <w:ilvl w:val="0"/>
          <w:numId w:val="33"/>
        </w:numPr>
        <w:rPr>
          <w:rFonts w:ascii="Arial" w:hAnsi="Arial" w:cs="Arial"/>
        </w:rPr>
      </w:pPr>
      <w:r w:rsidRPr="00B54A76">
        <w:rPr>
          <w:rFonts w:ascii="Arial" w:hAnsi="Arial" w:cs="Arial"/>
        </w:rPr>
        <w:t>contributed over 13,000 handwoven stars to the One Million Stars to End Violence project, a temporary public art installation by Maryann Talia Pau, forming part of Festival 2018 for the Commonwealth Games and displayed in King George Square during March and April 2018</w:t>
      </w:r>
    </w:p>
    <w:p w:rsidR="0028598A" w:rsidRPr="00B54A76" w:rsidRDefault="00B625AF" w:rsidP="00D806AE">
      <w:pPr>
        <w:pStyle w:val="ListParagraph"/>
        <w:numPr>
          <w:ilvl w:val="0"/>
          <w:numId w:val="33"/>
        </w:numPr>
        <w:rPr>
          <w:rFonts w:ascii="Arial" w:hAnsi="Arial" w:cs="Arial"/>
        </w:rPr>
      </w:pPr>
      <w:r w:rsidRPr="00B54A76">
        <w:rPr>
          <w:rFonts w:ascii="Arial" w:hAnsi="Arial" w:cs="Arial"/>
        </w:rPr>
        <w:t>raised funds and awareness for a number of charities supporting people who have experienced domestic and family violence, and people who are experiencing, or are at risk of homelessness</w:t>
      </w:r>
    </w:p>
    <w:p w:rsidR="0028598A" w:rsidRPr="00B54A76" w:rsidRDefault="00B625AF" w:rsidP="00D806AE">
      <w:pPr>
        <w:pStyle w:val="ListParagraph"/>
        <w:numPr>
          <w:ilvl w:val="0"/>
          <w:numId w:val="33"/>
        </w:numPr>
        <w:rPr>
          <w:rFonts w:ascii="Arial" w:hAnsi="Arial" w:cs="Arial"/>
        </w:rPr>
      </w:pPr>
      <w:r w:rsidRPr="00B54A76">
        <w:rPr>
          <w:rFonts w:ascii="Arial" w:hAnsi="Arial" w:cs="Arial"/>
        </w:rPr>
        <w:t>continued to display two specially designed canvases in regional workplaces to raise awareness of the White Ribbon message and celebrate the achievement of White Ribbon Workplace Accreditation</w:t>
      </w:r>
    </w:p>
    <w:p w:rsidR="0028598A" w:rsidRPr="00B54A76" w:rsidRDefault="00B625AF" w:rsidP="00D806AE">
      <w:pPr>
        <w:pStyle w:val="ListParagraph"/>
        <w:numPr>
          <w:ilvl w:val="0"/>
          <w:numId w:val="33"/>
        </w:numPr>
        <w:rPr>
          <w:rFonts w:ascii="Arial" w:hAnsi="Arial" w:cs="Arial"/>
        </w:rPr>
      </w:pPr>
      <w:r w:rsidRPr="00B54A76">
        <w:rPr>
          <w:rFonts w:ascii="Arial" w:hAnsi="Arial" w:cs="Arial"/>
        </w:rPr>
        <w:t>encouraged staff to participate in the CEO Challenge Darkness to Daylight Challenge Run in May 2018, to raise funds and help shine a light on the issue of domestic and family violence</w:t>
      </w:r>
    </w:p>
    <w:p w:rsidR="0028598A" w:rsidRPr="00B54A76" w:rsidRDefault="00B625AF" w:rsidP="00D806AE">
      <w:pPr>
        <w:pStyle w:val="ListParagraph"/>
        <w:numPr>
          <w:ilvl w:val="0"/>
          <w:numId w:val="33"/>
        </w:numPr>
        <w:rPr>
          <w:rFonts w:ascii="Arial" w:hAnsi="Arial" w:cs="Arial"/>
        </w:rPr>
      </w:pPr>
      <w:r w:rsidRPr="00B54A76">
        <w:rPr>
          <w:rFonts w:ascii="Arial" w:hAnsi="Arial" w:cs="Arial"/>
        </w:rPr>
        <w:t>supported our Director-General and other departmental leaders to join the Vinnies CEO Sleepout in June 2018, with our leaders raising over $14,000 to help fight homelessness</w:t>
      </w:r>
    </w:p>
    <w:p w:rsidR="0028598A" w:rsidRPr="00B54A76" w:rsidRDefault="00B625AF" w:rsidP="00D806AE">
      <w:pPr>
        <w:pStyle w:val="ListParagraph"/>
        <w:numPr>
          <w:ilvl w:val="0"/>
          <w:numId w:val="33"/>
        </w:numPr>
        <w:rPr>
          <w:rFonts w:ascii="Arial" w:hAnsi="Arial" w:cs="Arial"/>
        </w:rPr>
      </w:pPr>
      <w:r w:rsidRPr="00B54A76">
        <w:rPr>
          <w:rFonts w:ascii="Arial" w:hAnsi="Arial" w:cs="Arial"/>
        </w:rPr>
        <w:t xml:space="preserve">launched the Workplace Health and Safety Risk Management e-learning module during Safe Work Month in October 2017, and celebrated the month across the department through a range of local </w:t>
      </w:r>
      <w:bookmarkStart w:id="57" w:name="WORKFORCE_PLANNING_END"/>
      <w:r w:rsidRPr="00B54A76">
        <w:rPr>
          <w:rFonts w:ascii="Arial" w:hAnsi="Arial" w:cs="Arial"/>
        </w:rPr>
        <w:t>initiatives</w:t>
      </w:r>
      <w:bookmarkEnd w:id="57"/>
      <w:r w:rsidRPr="00B54A76">
        <w:rPr>
          <w:rFonts w:ascii="Arial" w:hAnsi="Arial" w:cs="Arial"/>
        </w:rPr>
        <w:t>.</w:t>
      </w:r>
    </w:p>
    <w:p w:rsidR="00FC4034" w:rsidRDefault="00FC4034">
      <w:pPr>
        <w:spacing w:before="0" w:after="0"/>
        <w:rPr>
          <w:rFonts w:ascii="Arial" w:hAnsi="Arial" w:cs="Arial"/>
        </w:rPr>
      </w:pPr>
      <w:r>
        <w:rPr>
          <w:rFonts w:ascii="Arial" w:hAnsi="Arial" w:cs="Arial"/>
        </w:rPr>
        <w:br w:type="page"/>
      </w:r>
    </w:p>
    <w:p w:rsidR="0028598A" w:rsidRPr="00C96F1A" w:rsidRDefault="004960A8" w:rsidP="00D97B08">
      <w:pPr>
        <w:pStyle w:val="Heading1"/>
      </w:pPr>
      <w:bookmarkStart w:id="58" w:name="_Toc528845974"/>
      <w:r>
        <w:lastRenderedPageBreak/>
        <w:t>Case Study</w:t>
      </w:r>
      <w:bookmarkEnd w:id="58"/>
    </w:p>
    <w:p w:rsidR="0028598A" w:rsidRPr="00C96F1A" w:rsidRDefault="00B625AF" w:rsidP="00704D55">
      <w:pPr>
        <w:pStyle w:val="Heading3"/>
      </w:pPr>
      <w:r w:rsidRPr="00C96F1A">
        <w:t>Building Industry Fairness Reforms</w:t>
      </w:r>
    </w:p>
    <w:p w:rsidR="001D33DB" w:rsidRDefault="001D33DB" w:rsidP="00C96F1A">
      <w:pPr>
        <w:rPr>
          <w:rFonts w:ascii="Arial" w:hAnsi="Arial" w:cs="Arial"/>
        </w:rPr>
      </w:pPr>
      <w:r>
        <w:rPr>
          <w:rFonts w:ascii="Arial" w:hAnsi="Arial" w:cs="Arial"/>
        </w:rPr>
        <w:t>IMAGE: TRADESPERSON STANDING IN CONSTRUCTION SITE</w:t>
      </w:r>
    </w:p>
    <w:p w:rsidR="0028598A" w:rsidRPr="00C96F1A" w:rsidRDefault="00B625AF" w:rsidP="00C96F1A">
      <w:pPr>
        <w:rPr>
          <w:rFonts w:ascii="Arial" w:hAnsi="Arial" w:cs="Arial"/>
        </w:rPr>
      </w:pPr>
      <w:r w:rsidRPr="00C96F1A">
        <w:rPr>
          <w:rFonts w:ascii="Arial" w:hAnsi="Arial" w:cs="Arial"/>
        </w:rPr>
        <w:t xml:space="preserve">The Queensland Government’s new </w:t>
      </w:r>
      <w:r w:rsidRPr="00FA5596">
        <w:rPr>
          <w:rFonts w:ascii="Arial" w:hAnsi="Arial" w:cs="Arial"/>
          <w:i/>
        </w:rPr>
        <w:t>Building Industry Fairness (Security of Payment) Act 2017</w:t>
      </w:r>
      <w:r w:rsidRPr="00C96F1A">
        <w:rPr>
          <w:rFonts w:ascii="Arial" w:hAnsi="Arial" w:cs="Arial"/>
        </w:rPr>
        <w:t xml:space="preserve"> brings together three separate pieces of legislation to protect subcontractors and implement Project Bank Accounts</w:t>
      </w:r>
      <w:r w:rsidR="0045446D">
        <w:rPr>
          <w:rFonts w:ascii="Arial" w:hAnsi="Arial" w:cs="Arial"/>
        </w:rPr>
        <w:t>.</w:t>
      </w:r>
    </w:p>
    <w:p w:rsidR="0028598A" w:rsidRPr="00C96F1A" w:rsidRDefault="00B625AF" w:rsidP="00C96F1A">
      <w:pPr>
        <w:rPr>
          <w:rFonts w:ascii="Arial" w:hAnsi="Arial" w:cs="Arial"/>
        </w:rPr>
      </w:pPr>
      <w:r w:rsidRPr="00C96F1A">
        <w:rPr>
          <w:rFonts w:ascii="Arial" w:hAnsi="Arial" w:cs="Arial"/>
        </w:rPr>
        <w:t>The new laws mean Queensland will have the strongest protections for subcontractors anywhere in Australia.</w:t>
      </w:r>
    </w:p>
    <w:p w:rsidR="0028598A" w:rsidRPr="00C96F1A" w:rsidRDefault="00B625AF" w:rsidP="00C96F1A">
      <w:pPr>
        <w:rPr>
          <w:rFonts w:ascii="Arial" w:hAnsi="Arial" w:cs="Arial"/>
        </w:rPr>
      </w:pPr>
      <w:r w:rsidRPr="00C96F1A">
        <w:rPr>
          <w:rFonts w:ascii="Arial" w:hAnsi="Arial" w:cs="Arial"/>
        </w:rPr>
        <w:t>Project Bank Accounts will safeguard progress payments from head contractors to first-tier subcontractors and protect subcontractors’ retention monies in the event head contractors become insolvent.</w:t>
      </w:r>
    </w:p>
    <w:p w:rsidR="0028598A" w:rsidRPr="00C96F1A" w:rsidRDefault="00B625AF" w:rsidP="00C96F1A">
      <w:pPr>
        <w:rPr>
          <w:rFonts w:ascii="Arial" w:hAnsi="Arial" w:cs="Arial"/>
        </w:rPr>
      </w:pPr>
      <w:r w:rsidRPr="00C96F1A">
        <w:rPr>
          <w:rFonts w:ascii="Arial" w:hAnsi="Arial" w:cs="Arial"/>
        </w:rPr>
        <w:t>Phase 1 of Project Bank Accounts, which commenced on 1 March 2018, covers all government building projects valued between $1 million and $10 million. Phase 2 will extend Project Bank Accounts to all private sector projects over $1 million and is expected to commence in 2019.</w:t>
      </w:r>
    </w:p>
    <w:p w:rsidR="0028598A" w:rsidRPr="00C96F1A" w:rsidRDefault="00B625AF" w:rsidP="00C96F1A">
      <w:pPr>
        <w:rPr>
          <w:rFonts w:ascii="Arial" w:hAnsi="Arial" w:cs="Arial"/>
        </w:rPr>
      </w:pPr>
      <w:r w:rsidRPr="00C96F1A">
        <w:rPr>
          <w:rFonts w:ascii="Arial" w:hAnsi="Arial" w:cs="Arial"/>
        </w:rPr>
        <w:t>The department supported the effective implementation of Project Bank Accounts by providing unlimited support to government agencies, building contractors and the banking sector.</w:t>
      </w:r>
    </w:p>
    <w:p w:rsidR="0028598A" w:rsidRPr="00C96F1A" w:rsidRDefault="00B625AF" w:rsidP="00C96F1A">
      <w:pPr>
        <w:rPr>
          <w:rFonts w:ascii="Arial" w:hAnsi="Arial" w:cs="Arial"/>
        </w:rPr>
      </w:pPr>
      <w:r w:rsidRPr="00C96F1A">
        <w:rPr>
          <w:rFonts w:ascii="Arial" w:hAnsi="Arial" w:cs="Arial"/>
        </w:rPr>
        <w:t xml:space="preserve">This included an extensive suite of customer focused materials published for principals, head contractors, subcontractors and banks to assist </w:t>
      </w:r>
      <w:r w:rsidR="001F3A74">
        <w:rPr>
          <w:rFonts w:ascii="Arial" w:hAnsi="Arial" w:cs="Arial"/>
        </w:rPr>
        <w:t>with</w:t>
      </w:r>
      <w:r w:rsidRPr="00C96F1A">
        <w:rPr>
          <w:rFonts w:ascii="Arial" w:hAnsi="Arial" w:cs="Arial"/>
        </w:rPr>
        <w:t xml:space="preserve"> their understanding and compliance.</w:t>
      </w:r>
    </w:p>
    <w:p w:rsidR="0028598A" w:rsidRPr="00C96F1A" w:rsidRDefault="00B625AF" w:rsidP="00C96F1A">
      <w:pPr>
        <w:rPr>
          <w:rFonts w:ascii="Arial" w:hAnsi="Arial" w:cs="Arial"/>
        </w:rPr>
      </w:pPr>
      <w:r w:rsidRPr="00C96F1A">
        <w:rPr>
          <w:rFonts w:ascii="Arial" w:hAnsi="Arial" w:cs="Arial"/>
        </w:rPr>
        <w:t>Information sessions were conducted across the state for head contractors and consultants to ensure readiness</w:t>
      </w:r>
      <w:r w:rsidR="0045446D">
        <w:rPr>
          <w:rFonts w:ascii="Arial" w:hAnsi="Arial" w:cs="Arial"/>
        </w:rPr>
        <w:t xml:space="preserve"> </w:t>
      </w:r>
      <w:r w:rsidRPr="00C96F1A">
        <w:rPr>
          <w:rFonts w:ascii="Arial" w:hAnsi="Arial" w:cs="Arial"/>
        </w:rPr>
        <w:t>and understanding of the PBA requirements by all parties</w:t>
      </w:r>
      <w:r w:rsidR="0045446D">
        <w:rPr>
          <w:rFonts w:ascii="Arial" w:hAnsi="Arial" w:cs="Arial"/>
        </w:rPr>
        <w:t xml:space="preserve"> </w:t>
      </w:r>
      <w:r w:rsidRPr="00C96F1A">
        <w:rPr>
          <w:rFonts w:ascii="Arial" w:hAnsi="Arial" w:cs="Arial"/>
        </w:rPr>
        <w:t>involved in first contracts.</w:t>
      </w:r>
    </w:p>
    <w:p w:rsidR="0028598A" w:rsidRPr="00C96F1A" w:rsidRDefault="00B625AF" w:rsidP="00C96F1A">
      <w:pPr>
        <w:rPr>
          <w:rFonts w:ascii="Arial" w:hAnsi="Arial" w:cs="Arial"/>
        </w:rPr>
      </w:pPr>
      <w:r w:rsidRPr="00C96F1A">
        <w:rPr>
          <w:rFonts w:ascii="Arial" w:hAnsi="Arial" w:cs="Arial"/>
        </w:rPr>
        <w:t>Between February and June 2018, we conducted 28 intensive, small group information sessions, attended by 264 head contractors and consultants across Queensland, including Cairns, Townsville, Mackay, Gladstone, Gold Coast and Rockhampton. Future sessions will deliver a further 13 sessions to more than an estimated 1,000 subcontractors.</w:t>
      </w:r>
    </w:p>
    <w:p w:rsidR="0028598A" w:rsidRPr="00C96F1A" w:rsidRDefault="00B625AF" w:rsidP="00C96F1A">
      <w:pPr>
        <w:rPr>
          <w:rFonts w:ascii="Arial" w:hAnsi="Arial" w:cs="Arial"/>
        </w:rPr>
      </w:pPr>
      <w:r w:rsidRPr="00C96F1A">
        <w:rPr>
          <w:rFonts w:ascii="Arial" w:hAnsi="Arial" w:cs="Arial"/>
        </w:rPr>
        <w:t>Since the commencement of PBAs, 20 government projects requiring PBAs have been awarded and as at 30 June 2018, there had been 12 projects awarded. The protections afforded by PBAs will ensure subcontractors working on these projects can be confident they will be paid for the work they do.</w:t>
      </w:r>
    </w:p>
    <w:p w:rsidR="0045446D" w:rsidRDefault="0045446D">
      <w:pPr>
        <w:spacing w:before="0" w:after="0"/>
        <w:rPr>
          <w:rFonts w:ascii="Arial" w:hAnsi="Arial" w:cs="Arial"/>
        </w:rPr>
      </w:pPr>
      <w:r>
        <w:rPr>
          <w:rFonts w:ascii="Arial" w:hAnsi="Arial" w:cs="Arial"/>
        </w:rPr>
        <w:br w:type="page"/>
      </w:r>
    </w:p>
    <w:p w:rsidR="0028598A" w:rsidRPr="00C96F1A" w:rsidRDefault="004960A8" w:rsidP="00D97B08">
      <w:pPr>
        <w:pStyle w:val="Heading1"/>
      </w:pPr>
      <w:bookmarkStart w:id="59" w:name="_Toc528845975"/>
      <w:r>
        <w:lastRenderedPageBreak/>
        <w:t>Case Study</w:t>
      </w:r>
      <w:bookmarkEnd w:id="59"/>
    </w:p>
    <w:p w:rsidR="0028598A" w:rsidRPr="00C96F1A" w:rsidRDefault="00B625AF" w:rsidP="00704D55">
      <w:pPr>
        <w:pStyle w:val="Heading3"/>
      </w:pPr>
      <w:r w:rsidRPr="00C96F1A">
        <w:t>Community Digital Champions</w:t>
      </w:r>
    </w:p>
    <w:p w:rsidR="001D33DB" w:rsidRDefault="001D33DB" w:rsidP="00C96F1A">
      <w:pPr>
        <w:rPr>
          <w:rFonts w:ascii="Arial" w:hAnsi="Arial" w:cs="Arial"/>
        </w:rPr>
      </w:pPr>
      <w:r>
        <w:rPr>
          <w:rFonts w:ascii="Arial" w:hAnsi="Arial" w:cs="Arial"/>
        </w:rPr>
        <w:t>IMAGE: FROM LEFT, JAMES WALKER AND PENNY DOUGLAS</w:t>
      </w:r>
    </w:p>
    <w:p w:rsidR="0028598A" w:rsidRPr="00C96F1A" w:rsidRDefault="00B625AF" w:rsidP="00C96F1A">
      <w:pPr>
        <w:rPr>
          <w:rFonts w:ascii="Arial" w:hAnsi="Arial" w:cs="Arial"/>
        </w:rPr>
      </w:pPr>
      <w:r w:rsidRPr="00C96F1A">
        <w:rPr>
          <w:rFonts w:ascii="Arial" w:hAnsi="Arial" w:cs="Arial"/>
        </w:rPr>
        <w:t>The Advance Queensland Community Digital Champions program encourages Queenslanders to explore and enjoy the benefits of the digital age by sharing the stories and activities of inspirational Queenslanders.</w:t>
      </w:r>
    </w:p>
    <w:p w:rsidR="0028598A" w:rsidRPr="00C96F1A" w:rsidRDefault="00B625AF" w:rsidP="00C96F1A">
      <w:pPr>
        <w:rPr>
          <w:rFonts w:ascii="Arial" w:hAnsi="Arial" w:cs="Arial"/>
        </w:rPr>
      </w:pPr>
      <w:r w:rsidRPr="00C96F1A">
        <w:rPr>
          <w:rFonts w:ascii="Arial" w:hAnsi="Arial" w:cs="Arial"/>
        </w:rPr>
        <w:t>Our Champions come from all walks of life and are passionate and outstanding individuals who want to give back to their communities by helping others to become digitally savvy.</w:t>
      </w:r>
    </w:p>
    <w:p w:rsidR="0028598A" w:rsidRPr="00C96F1A" w:rsidRDefault="00B625AF" w:rsidP="00C96F1A">
      <w:pPr>
        <w:rPr>
          <w:rFonts w:ascii="Arial" w:hAnsi="Arial" w:cs="Arial"/>
        </w:rPr>
      </w:pPr>
      <w:r w:rsidRPr="00C96F1A">
        <w:rPr>
          <w:rFonts w:ascii="Arial" w:hAnsi="Arial" w:cs="Arial"/>
        </w:rPr>
        <w:t>They are teachers, young people, business people and seniors who represent a range of industries, communities and demographic groups throughout Queensland.</w:t>
      </w:r>
    </w:p>
    <w:p w:rsidR="0028598A" w:rsidRPr="00C96F1A" w:rsidRDefault="00B625AF" w:rsidP="00C96F1A">
      <w:pPr>
        <w:rPr>
          <w:rFonts w:ascii="Arial" w:hAnsi="Arial" w:cs="Arial"/>
        </w:rPr>
      </w:pPr>
      <w:r w:rsidRPr="00C96F1A">
        <w:rPr>
          <w:rFonts w:ascii="Arial" w:hAnsi="Arial" w:cs="Arial"/>
        </w:rPr>
        <w:t>Champions like Penny Douglas who is passionate about empowering seniors to use digital technology, or fifth generation farmer James Walker who is showing farmers how diversification into tourism and technology can help rural properties in changing times.</w:t>
      </w:r>
    </w:p>
    <w:p w:rsidR="0028598A" w:rsidRPr="00C96F1A" w:rsidRDefault="00B625AF" w:rsidP="00C96F1A">
      <w:pPr>
        <w:rPr>
          <w:rFonts w:ascii="Arial" w:hAnsi="Arial" w:cs="Arial"/>
        </w:rPr>
      </w:pPr>
      <w:r w:rsidRPr="00C96F1A">
        <w:rPr>
          <w:rFonts w:ascii="Arial" w:hAnsi="Arial" w:cs="Arial"/>
        </w:rPr>
        <w:t>Through their volunteer activities, the Community Digital Champions seek to show how being able to navigate the digital world can dramatically enhance quality of life.</w:t>
      </w:r>
    </w:p>
    <w:p w:rsidR="0028598A" w:rsidRPr="00C96F1A" w:rsidRDefault="00B625AF" w:rsidP="00C96F1A">
      <w:pPr>
        <w:rPr>
          <w:rFonts w:ascii="Arial" w:hAnsi="Arial" w:cs="Arial"/>
        </w:rPr>
      </w:pPr>
      <w:r w:rsidRPr="00C96F1A">
        <w:rPr>
          <w:rFonts w:ascii="Arial" w:hAnsi="Arial" w:cs="Arial"/>
        </w:rPr>
        <w:t>As a result, this contributes to economic, educational and social outcomes for all Queenslanders.</w:t>
      </w:r>
    </w:p>
    <w:p w:rsidR="0028598A" w:rsidRPr="00C96F1A" w:rsidRDefault="00B625AF" w:rsidP="00C96F1A">
      <w:pPr>
        <w:rPr>
          <w:rFonts w:ascii="Arial" w:hAnsi="Arial" w:cs="Arial"/>
        </w:rPr>
      </w:pPr>
      <w:r w:rsidRPr="00C96F1A">
        <w:rPr>
          <w:rFonts w:ascii="Arial" w:hAnsi="Arial" w:cs="Arial"/>
        </w:rPr>
        <w:t xml:space="preserve">Champions are based throughout the state and help a variety of groups gain skills including senior citizens, Aboriginal </w:t>
      </w:r>
      <w:r w:rsidR="006E74E8">
        <w:rPr>
          <w:rFonts w:ascii="Arial" w:hAnsi="Arial" w:cs="Arial"/>
        </w:rPr>
        <w:t xml:space="preserve">Peoples </w:t>
      </w:r>
      <w:r w:rsidRPr="00C96F1A">
        <w:rPr>
          <w:rFonts w:ascii="Arial" w:hAnsi="Arial" w:cs="Arial"/>
        </w:rPr>
        <w:t>and Torres Strait Islander</w:t>
      </w:r>
      <w:r w:rsidR="006E74E8">
        <w:rPr>
          <w:rFonts w:ascii="Arial" w:hAnsi="Arial" w:cs="Arial"/>
        </w:rPr>
        <w:t xml:space="preserve"> Peoples</w:t>
      </w:r>
      <w:r w:rsidRPr="00C96F1A">
        <w:rPr>
          <w:rFonts w:ascii="Arial" w:hAnsi="Arial" w:cs="Arial"/>
        </w:rPr>
        <w:t>, people with a disability, people from non-English speaking backgrounds and people living in regional and remote communities.</w:t>
      </w:r>
    </w:p>
    <w:p w:rsidR="004960A8" w:rsidRPr="00C96F1A" w:rsidRDefault="004960A8" w:rsidP="004960A8">
      <w:pPr>
        <w:pStyle w:val="Heading1"/>
      </w:pPr>
      <w:bookmarkStart w:id="60" w:name="_Toc528845976"/>
      <w:r>
        <w:t>Case Study</w:t>
      </w:r>
      <w:bookmarkEnd w:id="60"/>
    </w:p>
    <w:p w:rsidR="0028598A" w:rsidRPr="00C96F1A" w:rsidRDefault="00B625AF" w:rsidP="00704D55">
      <w:pPr>
        <w:pStyle w:val="Heading3"/>
      </w:pPr>
      <w:r w:rsidRPr="00C96F1A">
        <w:t>The Queensland Government IT Graduate Program</w:t>
      </w:r>
    </w:p>
    <w:p w:rsidR="001D33DB" w:rsidRDefault="001D33DB" w:rsidP="00C96F1A">
      <w:pPr>
        <w:rPr>
          <w:rFonts w:ascii="Arial" w:hAnsi="Arial" w:cs="Arial"/>
        </w:rPr>
      </w:pPr>
      <w:r>
        <w:rPr>
          <w:rFonts w:ascii="Arial" w:hAnsi="Arial" w:cs="Arial"/>
        </w:rPr>
        <w:t>IMAGE: 3 GRADUTES LOOKING AT A LAPTOP</w:t>
      </w:r>
    </w:p>
    <w:p w:rsidR="0028598A" w:rsidRPr="00C96F1A" w:rsidRDefault="00B625AF" w:rsidP="00C96F1A">
      <w:pPr>
        <w:rPr>
          <w:rFonts w:ascii="Arial" w:hAnsi="Arial" w:cs="Arial"/>
        </w:rPr>
      </w:pPr>
      <w:r w:rsidRPr="00C96F1A">
        <w:rPr>
          <w:rFonts w:ascii="Arial" w:hAnsi="Arial" w:cs="Arial"/>
        </w:rPr>
        <w:t>The Queensland Government IT Graduate Program is a two- year leadership program that aims to develop a workforce geared for a digital future. Supported by the Queensland Government Chief Information Office, the program responds to the unique needs of government agencies, placing graduates in a range of technical and non-technical roles.</w:t>
      </w:r>
    </w:p>
    <w:p w:rsidR="0028598A" w:rsidRPr="00C96F1A" w:rsidRDefault="00B625AF" w:rsidP="00C96F1A">
      <w:pPr>
        <w:rPr>
          <w:rFonts w:ascii="Arial" w:hAnsi="Arial" w:cs="Arial"/>
        </w:rPr>
      </w:pPr>
      <w:r w:rsidRPr="00C96F1A">
        <w:rPr>
          <w:rFonts w:ascii="Arial" w:hAnsi="Arial" w:cs="Arial"/>
        </w:rPr>
        <w:t>The program provides a two-year contract with a Queensland Government agency, an interactive learning program, networking opportunities across government, mentoring and support.</w:t>
      </w:r>
    </w:p>
    <w:p w:rsidR="0028598A" w:rsidRPr="00C96F1A" w:rsidRDefault="00B625AF" w:rsidP="00C96F1A">
      <w:pPr>
        <w:rPr>
          <w:rFonts w:ascii="Arial" w:hAnsi="Arial" w:cs="Arial"/>
        </w:rPr>
      </w:pPr>
      <w:r w:rsidRPr="00C96F1A">
        <w:rPr>
          <w:rFonts w:ascii="Arial" w:hAnsi="Arial" w:cs="Arial"/>
        </w:rPr>
        <w:t>High numbers of graduates go on to gain established careers and opportunities on some of our most innovative digital projects, and contribute to our responsive and digital future.</w:t>
      </w:r>
    </w:p>
    <w:p w:rsidR="0028598A" w:rsidRPr="00C96F1A" w:rsidRDefault="00B625AF" w:rsidP="00C96F1A">
      <w:pPr>
        <w:rPr>
          <w:rFonts w:ascii="Arial" w:hAnsi="Arial" w:cs="Arial"/>
        </w:rPr>
      </w:pPr>
      <w:r w:rsidRPr="00C96F1A">
        <w:rPr>
          <w:rFonts w:ascii="Arial" w:hAnsi="Arial" w:cs="Arial"/>
        </w:rPr>
        <w:t>Rebecca, who began the program in February as a graduate remote sensing scientist with the Department of Environment</w:t>
      </w:r>
      <w:r w:rsidR="006E74E8">
        <w:rPr>
          <w:rFonts w:ascii="Arial" w:hAnsi="Arial" w:cs="Arial"/>
        </w:rPr>
        <w:t xml:space="preserve"> and Science</w:t>
      </w:r>
      <w:r w:rsidRPr="00C96F1A">
        <w:rPr>
          <w:rFonts w:ascii="Arial" w:hAnsi="Arial" w:cs="Arial"/>
        </w:rPr>
        <w:t>, said the program was a great opportunity to really kick start her career.</w:t>
      </w:r>
    </w:p>
    <w:p w:rsidR="0028598A" w:rsidRPr="00C96F1A" w:rsidRDefault="00B625AF" w:rsidP="00C96F1A">
      <w:pPr>
        <w:rPr>
          <w:rFonts w:ascii="Arial" w:hAnsi="Arial" w:cs="Arial"/>
        </w:rPr>
      </w:pPr>
      <w:r w:rsidRPr="00FA5596">
        <w:rPr>
          <w:rFonts w:ascii="Arial" w:hAnsi="Arial" w:cs="Arial"/>
          <w:i/>
        </w:rPr>
        <w:t>“The workshops that the Graduate Program takes you through are amazing learning experiences and really help develop our skills,”</w:t>
      </w:r>
      <w:r w:rsidRPr="00C96F1A">
        <w:rPr>
          <w:rFonts w:ascii="Arial" w:hAnsi="Arial" w:cs="Arial"/>
        </w:rPr>
        <w:t xml:space="preserve"> she said.</w:t>
      </w:r>
    </w:p>
    <w:p w:rsidR="0028598A" w:rsidRPr="00C96F1A" w:rsidRDefault="00B625AF" w:rsidP="00C96F1A">
      <w:pPr>
        <w:rPr>
          <w:rFonts w:ascii="Arial" w:hAnsi="Arial" w:cs="Arial"/>
        </w:rPr>
      </w:pPr>
      <w:r w:rsidRPr="00C96F1A">
        <w:rPr>
          <w:rFonts w:ascii="Arial" w:hAnsi="Arial" w:cs="Arial"/>
        </w:rPr>
        <w:t>The program has been running since 2007 and recruits an average of 35 graduates a year, placing them across five to 10 agencies. The IT Graduate Program is just one graduate recruitment strategy from the Queensland Government, supported in part by the Public Service Commission, which delivers the candidate application portal.</w:t>
      </w:r>
    </w:p>
    <w:p w:rsidR="006E74E8" w:rsidRDefault="00B625AF" w:rsidP="001D33DB">
      <w:pPr>
        <w:rPr>
          <w:rFonts w:ascii="Arial" w:hAnsi="Arial" w:cs="Arial"/>
        </w:rPr>
      </w:pPr>
      <w:r w:rsidRPr="00C96F1A">
        <w:rPr>
          <w:rFonts w:ascii="Arial" w:hAnsi="Arial" w:cs="Arial"/>
        </w:rPr>
        <w:t>Graduates may have qualifications in technical and non- technical fields, including marketing, human resources, business analysis, software development, network support and information security.</w:t>
      </w:r>
      <w:r w:rsidR="006E74E8">
        <w:rPr>
          <w:rFonts w:ascii="Arial" w:hAnsi="Arial" w:cs="Arial"/>
        </w:rPr>
        <w:br w:type="page"/>
      </w:r>
    </w:p>
    <w:p w:rsidR="004960A8" w:rsidRPr="00C96F1A" w:rsidRDefault="004960A8" w:rsidP="004960A8">
      <w:pPr>
        <w:pStyle w:val="Heading1"/>
      </w:pPr>
      <w:bookmarkStart w:id="61" w:name="_Toc528845977"/>
      <w:r>
        <w:lastRenderedPageBreak/>
        <w:t>Case Study</w:t>
      </w:r>
      <w:bookmarkEnd w:id="61"/>
    </w:p>
    <w:p w:rsidR="0028598A" w:rsidRPr="00C96F1A" w:rsidRDefault="00B625AF" w:rsidP="00704D55">
      <w:pPr>
        <w:pStyle w:val="Heading3"/>
      </w:pPr>
      <w:r w:rsidRPr="00C96F1A">
        <w:t>Queensland Procurement Policy</w:t>
      </w:r>
    </w:p>
    <w:p w:rsidR="001D33DB" w:rsidRDefault="001D33DB" w:rsidP="00C96F1A">
      <w:pPr>
        <w:rPr>
          <w:rFonts w:ascii="Arial" w:hAnsi="Arial" w:cs="Arial"/>
        </w:rPr>
      </w:pPr>
      <w:r>
        <w:rPr>
          <w:rFonts w:ascii="Arial" w:hAnsi="Arial" w:cs="Arial"/>
        </w:rPr>
        <w:t>IMAGE 1: CHEF PREPARING FOOD</w:t>
      </w:r>
    </w:p>
    <w:p w:rsidR="001D33DB" w:rsidRDefault="001D33DB" w:rsidP="00C96F1A">
      <w:pPr>
        <w:rPr>
          <w:rFonts w:ascii="Arial" w:hAnsi="Arial" w:cs="Arial"/>
        </w:rPr>
      </w:pPr>
      <w:r>
        <w:rPr>
          <w:rFonts w:ascii="Arial" w:hAnsi="Arial" w:cs="Arial"/>
        </w:rPr>
        <w:t>IMAGE 2: TRADES PRESON WORKING WITH CABLES</w:t>
      </w:r>
    </w:p>
    <w:p w:rsidR="0028598A" w:rsidRPr="00C96F1A" w:rsidRDefault="00B625AF" w:rsidP="00C96F1A">
      <w:pPr>
        <w:rPr>
          <w:rFonts w:ascii="Arial" w:hAnsi="Arial" w:cs="Arial"/>
        </w:rPr>
      </w:pPr>
      <w:r w:rsidRPr="00C96F1A">
        <w:rPr>
          <w:rFonts w:ascii="Arial" w:hAnsi="Arial" w:cs="Arial"/>
        </w:rPr>
        <w:t>Each year the Queensland Government spends over $14 billion on the essential goods and services needed to deliver quality frontline services to Queenslanders.</w:t>
      </w:r>
    </w:p>
    <w:p w:rsidR="0028598A" w:rsidRPr="00C96F1A" w:rsidRDefault="00B625AF" w:rsidP="00C96F1A">
      <w:pPr>
        <w:rPr>
          <w:rFonts w:ascii="Arial" w:hAnsi="Arial" w:cs="Arial"/>
        </w:rPr>
      </w:pPr>
      <w:r w:rsidRPr="00C96F1A">
        <w:rPr>
          <w:rFonts w:ascii="Arial" w:hAnsi="Arial" w:cs="Arial"/>
        </w:rPr>
        <w:t>Queensland Government</w:t>
      </w:r>
      <w:r w:rsidR="006E74E8">
        <w:rPr>
          <w:rFonts w:ascii="Arial" w:hAnsi="Arial" w:cs="Arial"/>
        </w:rPr>
        <w:t>’s</w:t>
      </w:r>
      <w:r w:rsidRPr="00C96F1A">
        <w:rPr>
          <w:rFonts w:ascii="Arial" w:hAnsi="Arial" w:cs="Arial"/>
        </w:rPr>
        <w:t xml:space="preserve"> agency-led, centrally enabled innovative procurement model has positioned the Queensland Government at the forefront of delivering effective and efficient procurement services.</w:t>
      </w:r>
    </w:p>
    <w:p w:rsidR="0028598A" w:rsidRPr="00C96F1A" w:rsidRDefault="00B625AF" w:rsidP="00C96F1A">
      <w:pPr>
        <w:rPr>
          <w:rFonts w:ascii="Arial" w:hAnsi="Arial" w:cs="Arial"/>
        </w:rPr>
      </w:pPr>
      <w:r w:rsidRPr="00C96F1A">
        <w:rPr>
          <w:rFonts w:ascii="Arial" w:hAnsi="Arial" w:cs="Arial"/>
        </w:rPr>
        <w:t xml:space="preserve">The </w:t>
      </w:r>
      <w:r w:rsidRPr="00FA5596">
        <w:rPr>
          <w:rFonts w:ascii="Arial" w:hAnsi="Arial" w:cs="Arial"/>
          <w:i/>
        </w:rPr>
        <w:t>Buy Queensland</w:t>
      </w:r>
      <w:r w:rsidRPr="00C96F1A">
        <w:rPr>
          <w:rFonts w:ascii="Arial" w:hAnsi="Arial" w:cs="Arial"/>
        </w:rPr>
        <w:t xml:space="preserve"> approach which underpins the </w:t>
      </w:r>
      <w:r w:rsidRPr="00FA5596">
        <w:rPr>
          <w:rFonts w:ascii="Arial" w:hAnsi="Arial" w:cs="Arial"/>
          <w:i/>
        </w:rPr>
        <w:t>Queensland Procurement Policy</w:t>
      </w:r>
      <w:r w:rsidRPr="00C96F1A">
        <w:rPr>
          <w:rFonts w:ascii="Arial" w:hAnsi="Arial" w:cs="Arial"/>
        </w:rPr>
        <w:t xml:space="preserve"> is helping to ensure local businesses, quality jobs and better social outcomes are all front and centre when taxpayer dollars are spent, delivering maximum benefit to our state.</w:t>
      </w:r>
    </w:p>
    <w:p w:rsidR="0028598A" w:rsidRPr="00C96F1A" w:rsidRDefault="00B625AF" w:rsidP="00C96F1A">
      <w:pPr>
        <w:rPr>
          <w:rFonts w:ascii="Arial" w:hAnsi="Arial" w:cs="Arial"/>
        </w:rPr>
      </w:pPr>
      <w:r w:rsidRPr="00C96F1A">
        <w:rPr>
          <w:rFonts w:ascii="Arial" w:hAnsi="Arial" w:cs="Arial"/>
        </w:rPr>
        <w:t>To encourage buyers and suppliers to adopt this approach and deliver improved services, extensive engagement sessions were delivered to 1,044 buyers and 1,494 suppliers in 17 locations around the state.</w:t>
      </w:r>
    </w:p>
    <w:p w:rsidR="0028598A" w:rsidRPr="00FA5596" w:rsidRDefault="00B625AF" w:rsidP="00C96F1A">
      <w:pPr>
        <w:rPr>
          <w:rFonts w:ascii="Arial" w:hAnsi="Arial" w:cs="Arial"/>
          <w:i/>
        </w:rPr>
      </w:pPr>
      <w:r w:rsidRPr="00FA5596">
        <w:rPr>
          <w:rFonts w:ascii="Arial" w:hAnsi="Arial" w:cs="Arial"/>
          <w:i/>
        </w:rPr>
        <w:t>“I think this will be great for small business. We are a small business and we compete in a very competitive market place dominated by multi-national players, and I want to see that change in Queensland.”</w:t>
      </w:r>
    </w:p>
    <w:p w:rsidR="0028598A" w:rsidRPr="00C96F1A" w:rsidRDefault="00B625AF" w:rsidP="00C96F1A">
      <w:pPr>
        <w:rPr>
          <w:rFonts w:ascii="Arial" w:hAnsi="Arial" w:cs="Arial"/>
        </w:rPr>
      </w:pPr>
      <w:r w:rsidRPr="00C96F1A">
        <w:rPr>
          <w:rFonts w:ascii="Arial" w:hAnsi="Arial" w:cs="Arial"/>
        </w:rPr>
        <w:t xml:space="preserve">The Buy Queensland approach has specific targets that support the achievement of the </w:t>
      </w:r>
      <w:r w:rsidR="006E74E8">
        <w:rPr>
          <w:rFonts w:ascii="Arial" w:hAnsi="Arial" w:cs="Arial"/>
        </w:rPr>
        <w:t>g</w:t>
      </w:r>
      <w:r w:rsidRPr="00C96F1A">
        <w:rPr>
          <w:rFonts w:ascii="Arial" w:hAnsi="Arial" w:cs="Arial"/>
        </w:rPr>
        <w:t>overnment’s economic, social and environmental objectives by ensuring greater opportunities</w:t>
      </w:r>
    </w:p>
    <w:p w:rsidR="006E74E8" w:rsidRDefault="00B625AF" w:rsidP="006E74E8">
      <w:pPr>
        <w:rPr>
          <w:rFonts w:ascii="Arial" w:hAnsi="Arial" w:cs="Arial"/>
        </w:rPr>
      </w:pPr>
      <w:r w:rsidRPr="00C96F1A">
        <w:rPr>
          <w:rFonts w:ascii="Arial" w:hAnsi="Arial" w:cs="Arial"/>
        </w:rPr>
        <w:t>for local businesses and social enterprises to supply to government and providing jobs and career pathways for disadvantaged Queenslanders.</w:t>
      </w:r>
      <w:bookmarkStart w:id="62" w:name="_TOC_250013"/>
      <w:bookmarkEnd w:id="62"/>
    </w:p>
    <w:p w:rsidR="006E74E8" w:rsidRDefault="006E74E8" w:rsidP="006E74E8">
      <w:r>
        <w:br w:type="page"/>
      </w:r>
    </w:p>
    <w:p w:rsidR="0028598A" w:rsidRPr="00C96F1A" w:rsidRDefault="00B625AF" w:rsidP="006E74E8">
      <w:pPr>
        <w:pStyle w:val="Heading1"/>
      </w:pPr>
      <w:bookmarkStart w:id="63" w:name="_Toc528845978"/>
      <w:r w:rsidRPr="00C96F1A">
        <w:lastRenderedPageBreak/>
        <w:t>Governance</w:t>
      </w:r>
      <w:bookmarkEnd w:id="63"/>
    </w:p>
    <w:p w:rsidR="001D33DB" w:rsidRDefault="001D33DB" w:rsidP="001D33DB">
      <w:pPr>
        <w:tabs>
          <w:tab w:val="left" w:pos="840"/>
        </w:tabs>
        <w:rPr>
          <w:rFonts w:ascii="Arial" w:hAnsi="Arial" w:cs="Arial"/>
        </w:rPr>
      </w:pPr>
      <w:r>
        <w:rPr>
          <w:rFonts w:ascii="Arial" w:hAnsi="Arial" w:cs="Arial"/>
        </w:rPr>
        <w:t xml:space="preserve">IMAGE: </w:t>
      </w:r>
      <w:r>
        <w:rPr>
          <w:rFonts w:ascii="Arial" w:hAnsi="Arial" w:cs="Arial"/>
        </w:rPr>
        <w:tab/>
        <w:t>DEPARTMENT OF HOUSING AND PUBLIC WORKS EXECUTIVE LEADERSHIP TEAM</w:t>
      </w:r>
    </w:p>
    <w:p w:rsidR="001D33DB" w:rsidRDefault="001D33DB" w:rsidP="00363726">
      <w:pPr>
        <w:tabs>
          <w:tab w:val="left" w:pos="851"/>
        </w:tabs>
        <w:ind w:left="851"/>
        <w:rPr>
          <w:rFonts w:ascii="Arial" w:hAnsi="Arial" w:cs="Arial"/>
        </w:rPr>
      </w:pPr>
      <w:r>
        <w:rPr>
          <w:rFonts w:ascii="Arial" w:hAnsi="Arial" w:cs="Arial"/>
        </w:rPr>
        <w:t>FRONT ROW: ANDREW SPINA, CHRISTINE CASTLEY, GRAHAM ATKINS, LIZA CAROLL, ROBYN TURBIT</w:t>
      </w:r>
      <w:r w:rsidR="00363726">
        <w:rPr>
          <w:rFonts w:ascii="Arial" w:hAnsi="Arial" w:cs="Arial"/>
        </w:rPr>
        <w:t xml:space="preserve">, PAIGE RIDGEWELL, </w:t>
      </w:r>
    </w:p>
    <w:p w:rsidR="00363726" w:rsidRDefault="00363726" w:rsidP="00363726">
      <w:pPr>
        <w:tabs>
          <w:tab w:val="left" w:pos="851"/>
        </w:tabs>
        <w:ind w:left="851"/>
        <w:rPr>
          <w:rFonts w:ascii="Arial" w:hAnsi="Arial" w:cs="Arial"/>
        </w:rPr>
      </w:pPr>
      <w:r>
        <w:rPr>
          <w:rFonts w:ascii="Arial" w:hAnsi="Arial" w:cs="Arial"/>
        </w:rPr>
        <w:t>BACK ROW: ANDREW MILLS, KIMBERLY SWORDS, DALLAS STOWER, IRENE VIOLET, DON RIVERS</w:t>
      </w:r>
    </w:p>
    <w:p w:rsidR="0028598A" w:rsidRPr="00C96F1A" w:rsidRDefault="00B625AF" w:rsidP="00C96F1A">
      <w:pPr>
        <w:rPr>
          <w:rFonts w:ascii="Arial" w:hAnsi="Arial" w:cs="Arial"/>
        </w:rPr>
      </w:pPr>
      <w:r w:rsidRPr="00C96F1A">
        <w:rPr>
          <w:rFonts w:ascii="Arial" w:hAnsi="Arial" w:cs="Arial"/>
        </w:rPr>
        <w:t>Corporate governance is the set of responsibilities and the way a department sets direction and manages performance of its functions and operations. This is to ensure objectives are achieved, risks and control structures are managed, and accountabilities and obligations are discharged in accordance with our principles.</w:t>
      </w:r>
    </w:p>
    <w:p w:rsidR="0028598A" w:rsidRPr="00C96F1A" w:rsidRDefault="00B625AF" w:rsidP="00C96F1A">
      <w:pPr>
        <w:rPr>
          <w:rFonts w:ascii="Arial" w:hAnsi="Arial" w:cs="Arial"/>
        </w:rPr>
      </w:pPr>
      <w:r w:rsidRPr="00C96F1A">
        <w:rPr>
          <w:rFonts w:ascii="Arial" w:hAnsi="Arial" w:cs="Arial"/>
        </w:rPr>
        <w:t>Our governance arrangements assist the Director-General,</w:t>
      </w:r>
    </w:p>
    <w:p w:rsidR="0028598A" w:rsidRPr="00C96F1A" w:rsidRDefault="00B625AF" w:rsidP="00C96F1A">
      <w:pPr>
        <w:rPr>
          <w:rFonts w:ascii="Arial" w:hAnsi="Arial" w:cs="Arial"/>
        </w:rPr>
      </w:pPr>
      <w:r w:rsidRPr="00C96F1A">
        <w:rPr>
          <w:rFonts w:ascii="Arial" w:hAnsi="Arial" w:cs="Arial"/>
        </w:rPr>
        <w:t xml:space="preserve">as the accountable officer, to meet the requirements of the </w:t>
      </w:r>
      <w:r w:rsidRPr="007F0448">
        <w:rPr>
          <w:rFonts w:ascii="Arial" w:hAnsi="Arial" w:cs="Arial"/>
          <w:i/>
        </w:rPr>
        <w:t>Financial Accountability Act 2009</w:t>
      </w:r>
      <w:r w:rsidRPr="00C96F1A">
        <w:rPr>
          <w:rFonts w:ascii="Arial" w:hAnsi="Arial" w:cs="Arial"/>
        </w:rPr>
        <w:t xml:space="preserve">, the </w:t>
      </w:r>
      <w:r w:rsidRPr="007F0448">
        <w:rPr>
          <w:rFonts w:ascii="Arial" w:hAnsi="Arial" w:cs="Arial"/>
          <w:i/>
        </w:rPr>
        <w:t>Financial and Performance Management Standard 2009</w:t>
      </w:r>
      <w:r w:rsidRPr="00C96F1A">
        <w:rPr>
          <w:rFonts w:ascii="Arial" w:hAnsi="Arial" w:cs="Arial"/>
        </w:rPr>
        <w:t xml:space="preserve">, the </w:t>
      </w:r>
      <w:r w:rsidRPr="007F0448">
        <w:rPr>
          <w:rFonts w:ascii="Arial" w:hAnsi="Arial" w:cs="Arial"/>
          <w:i/>
        </w:rPr>
        <w:t xml:space="preserve">Public Sector </w:t>
      </w:r>
      <w:bookmarkStart w:id="64" w:name="ETHICS_ACT"/>
      <w:r w:rsidRPr="007F0448">
        <w:rPr>
          <w:rFonts w:ascii="Arial" w:hAnsi="Arial" w:cs="Arial"/>
          <w:i/>
        </w:rPr>
        <w:t xml:space="preserve">Ethics Act </w:t>
      </w:r>
      <w:bookmarkEnd w:id="64"/>
      <w:r w:rsidRPr="007F0448">
        <w:rPr>
          <w:rFonts w:ascii="Arial" w:hAnsi="Arial" w:cs="Arial"/>
          <w:i/>
        </w:rPr>
        <w:t>1992</w:t>
      </w:r>
      <w:r w:rsidRPr="00C96F1A">
        <w:rPr>
          <w:rFonts w:ascii="Arial" w:hAnsi="Arial" w:cs="Arial"/>
        </w:rPr>
        <w:t xml:space="preserve"> and other legislative and accountability requirements.</w:t>
      </w:r>
    </w:p>
    <w:p w:rsidR="0028598A" w:rsidRPr="00C96F1A" w:rsidRDefault="00B625AF" w:rsidP="00C96F1A">
      <w:pPr>
        <w:rPr>
          <w:rFonts w:ascii="Arial" w:hAnsi="Arial" w:cs="Arial"/>
        </w:rPr>
      </w:pPr>
      <w:r w:rsidRPr="00C96F1A">
        <w:rPr>
          <w:rFonts w:ascii="Arial" w:hAnsi="Arial" w:cs="Arial"/>
        </w:rPr>
        <w:t>We continue to maintain our commitment to high standards of professional conduct, and honest and ethical business</w:t>
      </w:r>
      <w:r w:rsidR="007F0448">
        <w:rPr>
          <w:rFonts w:ascii="Arial" w:hAnsi="Arial" w:cs="Arial"/>
        </w:rPr>
        <w:t xml:space="preserve"> </w:t>
      </w:r>
      <w:r w:rsidRPr="00C96F1A">
        <w:rPr>
          <w:rFonts w:ascii="Arial" w:hAnsi="Arial" w:cs="Arial"/>
        </w:rPr>
        <w:t>practices, which effectively supports our department’s strategic management and monitors the achievement of business objectives.</w:t>
      </w:r>
    </w:p>
    <w:p w:rsidR="0028598A" w:rsidRPr="00C96F1A" w:rsidRDefault="00B625AF" w:rsidP="00665F8D">
      <w:pPr>
        <w:pStyle w:val="Heading3"/>
      </w:pPr>
      <w:bookmarkStart w:id="65" w:name="EXECUTIVE_MANAGEMENT_START"/>
      <w:bookmarkStart w:id="66" w:name="_TOC_250012"/>
      <w:r w:rsidRPr="00C96F1A">
        <w:t xml:space="preserve">Executive </w:t>
      </w:r>
      <w:bookmarkEnd w:id="65"/>
      <w:r w:rsidRPr="00C96F1A">
        <w:t xml:space="preserve">Leadership </w:t>
      </w:r>
      <w:bookmarkEnd w:id="66"/>
      <w:r w:rsidRPr="00C96F1A">
        <w:t>Team</w:t>
      </w:r>
    </w:p>
    <w:p w:rsidR="0028598A" w:rsidRPr="00C96F1A" w:rsidRDefault="00B625AF" w:rsidP="00C96F1A">
      <w:pPr>
        <w:rPr>
          <w:rFonts w:ascii="Arial" w:hAnsi="Arial" w:cs="Arial"/>
        </w:rPr>
      </w:pPr>
      <w:r w:rsidRPr="00C96F1A">
        <w:rPr>
          <w:rFonts w:ascii="Arial" w:hAnsi="Arial" w:cs="Arial"/>
        </w:rPr>
        <w:t>The Executive Leadership Team is our principal governing body. It supports the Director-General in meeting legislative requirements and accountabilities. The Executive Leadership Team is responsible for setting the strategic direction of the department, effective planning and resource allocation and</w:t>
      </w:r>
      <w:r w:rsidR="007F0448">
        <w:rPr>
          <w:rFonts w:ascii="Arial" w:hAnsi="Arial" w:cs="Arial"/>
        </w:rPr>
        <w:t xml:space="preserve"> </w:t>
      </w:r>
      <w:r w:rsidRPr="00C96F1A">
        <w:rPr>
          <w:rFonts w:ascii="Arial" w:hAnsi="Arial" w:cs="Arial"/>
        </w:rPr>
        <w:t>overseeing the department’s performance, program and project management.</w:t>
      </w:r>
    </w:p>
    <w:p w:rsidR="0028598A" w:rsidRPr="00C96F1A" w:rsidRDefault="00B625AF" w:rsidP="00C96F1A">
      <w:pPr>
        <w:rPr>
          <w:rFonts w:ascii="Arial" w:hAnsi="Arial" w:cs="Arial"/>
        </w:rPr>
      </w:pPr>
      <w:r w:rsidRPr="00C96F1A">
        <w:rPr>
          <w:rFonts w:ascii="Arial" w:hAnsi="Arial" w:cs="Arial"/>
        </w:rPr>
        <w:t>The role of the Executive Leadership Team is to:</w:t>
      </w:r>
    </w:p>
    <w:p w:rsidR="0028598A" w:rsidRPr="00665F8D" w:rsidRDefault="00B625AF" w:rsidP="00D806AE">
      <w:pPr>
        <w:pStyle w:val="ListParagraph"/>
        <w:numPr>
          <w:ilvl w:val="0"/>
          <w:numId w:val="33"/>
        </w:numPr>
        <w:rPr>
          <w:rFonts w:ascii="Arial" w:hAnsi="Arial" w:cs="Arial"/>
        </w:rPr>
      </w:pPr>
      <w:r w:rsidRPr="00665F8D">
        <w:rPr>
          <w:rFonts w:ascii="Arial" w:hAnsi="Arial" w:cs="Arial"/>
        </w:rPr>
        <w:t>set our department’s goals and performance levels</w:t>
      </w:r>
    </w:p>
    <w:p w:rsidR="0028598A" w:rsidRPr="00665F8D" w:rsidRDefault="00B625AF" w:rsidP="00D806AE">
      <w:pPr>
        <w:pStyle w:val="ListParagraph"/>
        <w:numPr>
          <w:ilvl w:val="0"/>
          <w:numId w:val="33"/>
        </w:numPr>
        <w:rPr>
          <w:rFonts w:ascii="Arial" w:hAnsi="Arial" w:cs="Arial"/>
        </w:rPr>
      </w:pPr>
      <w:r w:rsidRPr="00665F8D">
        <w:rPr>
          <w:rFonts w:ascii="Arial" w:hAnsi="Arial" w:cs="Arial"/>
        </w:rPr>
        <w:t>establish our department’s culture and appetite for risk</w:t>
      </w:r>
    </w:p>
    <w:p w:rsidR="0028598A" w:rsidRPr="00665F8D" w:rsidRDefault="00B625AF" w:rsidP="00D806AE">
      <w:pPr>
        <w:pStyle w:val="ListParagraph"/>
        <w:numPr>
          <w:ilvl w:val="0"/>
          <w:numId w:val="33"/>
        </w:numPr>
        <w:rPr>
          <w:rFonts w:ascii="Arial" w:hAnsi="Arial" w:cs="Arial"/>
        </w:rPr>
      </w:pPr>
      <w:r w:rsidRPr="00665F8D">
        <w:rPr>
          <w:rFonts w:ascii="Arial" w:hAnsi="Arial" w:cs="Arial"/>
        </w:rPr>
        <w:t>provide direction for our risk management system</w:t>
      </w:r>
    </w:p>
    <w:p w:rsidR="0028598A" w:rsidRPr="00665F8D" w:rsidRDefault="00B625AF" w:rsidP="00D806AE">
      <w:pPr>
        <w:pStyle w:val="ListParagraph"/>
        <w:numPr>
          <w:ilvl w:val="0"/>
          <w:numId w:val="33"/>
        </w:numPr>
        <w:rPr>
          <w:rFonts w:ascii="Arial" w:hAnsi="Arial" w:cs="Arial"/>
        </w:rPr>
      </w:pPr>
      <w:r w:rsidRPr="00665F8D">
        <w:rPr>
          <w:rFonts w:ascii="Arial" w:hAnsi="Arial" w:cs="Arial"/>
        </w:rPr>
        <w:t>provide stewardship over the implementation of our programs and policies</w:t>
      </w:r>
    </w:p>
    <w:p w:rsidR="007F0448" w:rsidRDefault="00B625AF" w:rsidP="00D806AE">
      <w:pPr>
        <w:pStyle w:val="ListParagraph"/>
        <w:numPr>
          <w:ilvl w:val="0"/>
          <w:numId w:val="33"/>
        </w:numPr>
        <w:rPr>
          <w:rFonts w:ascii="Arial" w:hAnsi="Arial" w:cs="Arial"/>
        </w:rPr>
      </w:pPr>
      <w:r w:rsidRPr="00665F8D">
        <w:rPr>
          <w:rFonts w:ascii="Arial" w:hAnsi="Arial" w:cs="Arial"/>
        </w:rPr>
        <w:t>monitor performance against planned business activities</w:t>
      </w:r>
      <w:r w:rsidR="00665F8D" w:rsidRPr="00665F8D">
        <w:rPr>
          <w:rFonts w:ascii="Arial" w:hAnsi="Arial" w:cs="Arial"/>
        </w:rPr>
        <w:t xml:space="preserve"> </w:t>
      </w:r>
      <w:r w:rsidRPr="00665F8D">
        <w:rPr>
          <w:rFonts w:ascii="Arial" w:hAnsi="Arial" w:cs="Arial"/>
        </w:rPr>
        <w:t>as well as the financial performance of our department</w:t>
      </w:r>
      <w:r w:rsidR="00665F8D" w:rsidRPr="00665F8D">
        <w:rPr>
          <w:rFonts w:ascii="Arial" w:hAnsi="Arial" w:cs="Arial"/>
        </w:rPr>
        <w:t xml:space="preserve"> </w:t>
      </w:r>
    </w:p>
    <w:p w:rsidR="0028598A" w:rsidRPr="00665F8D" w:rsidRDefault="00B625AF" w:rsidP="00D806AE">
      <w:pPr>
        <w:pStyle w:val="ListParagraph"/>
        <w:numPr>
          <w:ilvl w:val="0"/>
          <w:numId w:val="33"/>
        </w:numPr>
        <w:rPr>
          <w:rFonts w:ascii="Arial" w:hAnsi="Arial" w:cs="Arial"/>
        </w:rPr>
      </w:pPr>
      <w:r w:rsidRPr="00665F8D">
        <w:rPr>
          <w:rFonts w:ascii="Arial" w:hAnsi="Arial" w:cs="Arial"/>
        </w:rPr>
        <w:t>provide a forum for debating and discussing strategic and key operational issues.</w:t>
      </w:r>
    </w:p>
    <w:p w:rsidR="00665F8D" w:rsidRPr="00665F8D" w:rsidRDefault="00665F8D" w:rsidP="00665F8D">
      <w:r w:rsidRPr="00665F8D">
        <w:rPr>
          <w:b/>
        </w:rPr>
        <w:t>Chair:</w:t>
      </w:r>
      <w:r w:rsidRPr="00665F8D">
        <w:t xml:space="preserve">  Director-General</w:t>
      </w:r>
    </w:p>
    <w:p w:rsidR="00665F8D" w:rsidRPr="00665F8D" w:rsidRDefault="00665F8D" w:rsidP="00665F8D">
      <w:pPr>
        <w:rPr>
          <w:b/>
        </w:rPr>
      </w:pPr>
      <w:r w:rsidRPr="00665F8D">
        <w:rPr>
          <w:b/>
        </w:rPr>
        <w:t>Members:</w:t>
      </w:r>
    </w:p>
    <w:p w:rsidR="00665F8D" w:rsidRPr="00665F8D" w:rsidRDefault="00665F8D" w:rsidP="00D806AE">
      <w:pPr>
        <w:pStyle w:val="ListParagraph"/>
        <w:numPr>
          <w:ilvl w:val="0"/>
          <w:numId w:val="35"/>
        </w:numPr>
      </w:pPr>
      <w:r w:rsidRPr="00665F8D">
        <w:t>Deputy Director-General,</w:t>
      </w:r>
      <w:r>
        <w:t xml:space="preserve"> </w:t>
      </w:r>
      <w:r w:rsidRPr="00665F8D">
        <w:t>Housing and Homelessness Services</w:t>
      </w:r>
    </w:p>
    <w:p w:rsidR="00665F8D" w:rsidRPr="00665F8D" w:rsidRDefault="00665F8D" w:rsidP="00D806AE">
      <w:pPr>
        <w:pStyle w:val="ListParagraph"/>
        <w:numPr>
          <w:ilvl w:val="0"/>
          <w:numId w:val="35"/>
        </w:numPr>
      </w:pPr>
      <w:r w:rsidRPr="00665F8D">
        <w:t>Deputy Director-General,</w:t>
      </w:r>
      <w:r>
        <w:t xml:space="preserve"> </w:t>
      </w:r>
      <w:r w:rsidRPr="00665F8D">
        <w:t>Public Works and Asset Management</w:t>
      </w:r>
    </w:p>
    <w:p w:rsidR="00665F8D" w:rsidRPr="00665F8D" w:rsidRDefault="00665F8D" w:rsidP="00D806AE">
      <w:pPr>
        <w:pStyle w:val="ListParagraph"/>
        <w:numPr>
          <w:ilvl w:val="0"/>
          <w:numId w:val="35"/>
        </w:numPr>
      </w:pPr>
      <w:r w:rsidRPr="00665F8D">
        <w:t>Deputy Director-General, Sport and Recreation Services</w:t>
      </w:r>
    </w:p>
    <w:p w:rsidR="00665F8D" w:rsidRPr="00665F8D" w:rsidRDefault="00665F8D" w:rsidP="00D806AE">
      <w:pPr>
        <w:pStyle w:val="ListParagraph"/>
        <w:numPr>
          <w:ilvl w:val="0"/>
          <w:numId w:val="35"/>
        </w:numPr>
      </w:pPr>
      <w:r w:rsidRPr="00665F8D">
        <w:t>Assistant Director-General, Building Industry and Policy</w:t>
      </w:r>
    </w:p>
    <w:p w:rsidR="00665F8D" w:rsidRPr="00665F8D" w:rsidRDefault="00665F8D" w:rsidP="00D806AE">
      <w:pPr>
        <w:pStyle w:val="ListParagraph"/>
        <w:numPr>
          <w:ilvl w:val="0"/>
          <w:numId w:val="35"/>
        </w:numPr>
      </w:pPr>
      <w:r w:rsidRPr="00665F8D">
        <w:t>Assistant Director-General, Corporate Services</w:t>
      </w:r>
    </w:p>
    <w:p w:rsidR="00665F8D" w:rsidRPr="00665F8D" w:rsidRDefault="00665F8D" w:rsidP="00D806AE">
      <w:pPr>
        <w:pStyle w:val="ListParagraph"/>
        <w:numPr>
          <w:ilvl w:val="0"/>
          <w:numId w:val="35"/>
        </w:numPr>
      </w:pPr>
      <w:r w:rsidRPr="00665F8D">
        <w:t>Assistant Director-General and Chief Advisor, Queensland Government Procurement</w:t>
      </w:r>
    </w:p>
    <w:p w:rsidR="00665F8D" w:rsidRPr="00665F8D" w:rsidRDefault="00665F8D" w:rsidP="00D806AE">
      <w:pPr>
        <w:pStyle w:val="ListParagraph"/>
        <w:numPr>
          <w:ilvl w:val="0"/>
          <w:numId w:val="35"/>
        </w:numPr>
      </w:pPr>
      <w:r w:rsidRPr="00665F8D">
        <w:t>Assistant Director-General, Strategic ICT</w:t>
      </w:r>
    </w:p>
    <w:p w:rsidR="00665F8D" w:rsidRPr="00665F8D" w:rsidRDefault="00665F8D" w:rsidP="00D806AE">
      <w:pPr>
        <w:pStyle w:val="ListParagraph"/>
        <w:numPr>
          <w:ilvl w:val="0"/>
          <w:numId w:val="35"/>
        </w:numPr>
      </w:pPr>
      <w:r w:rsidRPr="00665F8D">
        <w:t xml:space="preserve">Assistant Director-General, Digital Capability, Information and Transaction Based Services </w:t>
      </w:r>
    </w:p>
    <w:p w:rsidR="00665F8D" w:rsidRPr="00665F8D" w:rsidRDefault="00665F8D" w:rsidP="00D806AE">
      <w:pPr>
        <w:pStyle w:val="ListParagraph"/>
        <w:numPr>
          <w:ilvl w:val="0"/>
          <w:numId w:val="35"/>
        </w:numPr>
      </w:pPr>
      <w:r w:rsidRPr="00665F8D">
        <w:lastRenderedPageBreak/>
        <w:t>Assistant Director-General, Queensland Shared Services</w:t>
      </w:r>
    </w:p>
    <w:p w:rsidR="00665F8D" w:rsidRPr="00665F8D" w:rsidRDefault="00665F8D" w:rsidP="00D806AE">
      <w:pPr>
        <w:pStyle w:val="ListParagraph"/>
        <w:numPr>
          <w:ilvl w:val="0"/>
          <w:numId w:val="35"/>
        </w:numPr>
      </w:pPr>
      <w:r w:rsidRPr="00665F8D">
        <w:t>Queensland Government Chief Information Officer</w:t>
      </w:r>
    </w:p>
    <w:p w:rsidR="0028598A" w:rsidRPr="00665F8D" w:rsidRDefault="00B625AF" w:rsidP="00665F8D">
      <w:r w:rsidRPr="00665F8D">
        <w:t>As at 30 June 2018, the Executive Leadership Team was supported by seven committees which advised on matters within their terms of reference. The Chairs of these committees report to the Executive Leadership Team.</w:t>
      </w:r>
    </w:p>
    <w:p w:rsidR="0028598A" w:rsidRPr="00C96F1A" w:rsidRDefault="00B625AF" w:rsidP="00665F8D">
      <w:pPr>
        <w:pStyle w:val="Heading6"/>
      </w:pPr>
      <w:bookmarkStart w:id="67" w:name="_TOC_250011"/>
      <w:r w:rsidRPr="00C96F1A">
        <w:t xml:space="preserve">Our Executive Leadership Team as at 30 June </w:t>
      </w:r>
      <w:bookmarkEnd w:id="67"/>
      <w:r w:rsidRPr="00C96F1A">
        <w:t>2018</w:t>
      </w:r>
    </w:p>
    <w:p w:rsidR="0028598A" w:rsidRPr="00C96F1A" w:rsidRDefault="00B625AF" w:rsidP="00DD5B39">
      <w:pPr>
        <w:pStyle w:val="Heading6"/>
      </w:pPr>
      <w:r w:rsidRPr="00C96F1A">
        <w:t>Liza Carroll</w:t>
      </w:r>
    </w:p>
    <w:p w:rsidR="0028598A" w:rsidRPr="00C96F1A" w:rsidRDefault="00B625AF" w:rsidP="00C96F1A">
      <w:pPr>
        <w:rPr>
          <w:rFonts w:ascii="Arial" w:hAnsi="Arial" w:cs="Arial"/>
        </w:rPr>
      </w:pPr>
      <w:r w:rsidRPr="00C96F1A">
        <w:rPr>
          <w:rFonts w:ascii="Arial" w:hAnsi="Arial" w:cs="Arial"/>
        </w:rPr>
        <w:t>Chair: Director-General</w:t>
      </w:r>
    </w:p>
    <w:p w:rsidR="0028598A" w:rsidRPr="007F0448" w:rsidRDefault="00B625AF" w:rsidP="00C96F1A">
      <w:pPr>
        <w:rPr>
          <w:rFonts w:ascii="Arial" w:hAnsi="Arial" w:cs="Arial"/>
          <w:i/>
        </w:rPr>
      </w:pPr>
      <w:r w:rsidRPr="007F0448">
        <w:rPr>
          <w:rFonts w:ascii="Arial" w:hAnsi="Arial" w:cs="Arial"/>
          <w:i/>
        </w:rPr>
        <w:t>BEd, MEd (Hons)</w:t>
      </w:r>
    </w:p>
    <w:p w:rsidR="0028598A" w:rsidRPr="00C96F1A" w:rsidRDefault="00B625AF" w:rsidP="00C96F1A">
      <w:pPr>
        <w:rPr>
          <w:rFonts w:ascii="Arial" w:hAnsi="Arial" w:cs="Arial"/>
        </w:rPr>
      </w:pPr>
      <w:r w:rsidRPr="00C96F1A">
        <w:rPr>
          <w:rFonts w:ascii="Arial" w:hAnsi="Arial" w:cs="Arial"/>
        </w:rPr>
        <w:t>Liza joined the Department of Housing and Public Works in August 2015. In her role as the Director-General, Liza leads the department in the delivery of a range of housing, building, sports, digital and procurement services across Queensland. She provides impactful leadership in order to enable whole-of-government collaboration in delivering on government’s commitments and priorities.</w:t>
      </w:r>
    </w:p>
    <w:p w:rsidR="0028598A" w:rsidRPr="00C96F1A" w:rsidRDefault="00B625AF" w:rsidP="00C96F1A">
      <w:pPr>
        <w:rPr>
          <w:rFonts w:ascii="Arial" w:hAnsi="Arial" w:cs="Arial"/>
        </w:rPr>
      </w:pPr>
      <w:r w:rsidRPr="00C96F1A">
        <w:rPr>
          <w:rFonts w:ascii="Arial" w:hAnsi="Arial" w:cs="Arial"/>
        </w:rPr>
        <w:t>Liza previously held the role of Associate Secretary, Head of Indigenous Affairs in the Department of Prime Minister and Cabinet, where she was responsible for bringing together over 1,500 staff from eight different departments to form the new Indigenous Affairs portfolio in 100 locations across Australia. Prior to this, Liza was the Deputy Secretary in the Department of Families, Housing, Community Services and Indigenous Affairs with responsibility for housing, homelessness, families, children, women’s issues, gambling and community services.</w:t>
      </w:r>
    </w:p>
    <w:p w:rsidR="0028598A" w:rsidRPr="00C96F1A" w:rsidRDefault="00B625AF" w:rsidP="00C96F1A">
      <w:pPr>
        <w:rPr>
          <w:rFonts w:ascii="Arial" w:hAnsi="Arial" w:cs="Arial"/>
        </w:rPr>
      </w:pPr>
      <w:r w:rsidRPr="00C96F1A">
        <w:rPr>
          <w:rFonts w:ascii="Arial" w:hAnsi="Arial" w:cs="Arial"/>
        </w:rPr>
        <w:t>Liza has a Master of Education (Hons) majoring in Sociology and a Bachelor of Education. She was awarded the Public Service Medal for her work leading ‘Ahead of the Game: Blueprint for Reform in the Australian Public Service’.</w:t>
      </w:r>
    </w:p>
    <w:p w:rsidR="0028598A" w:rsidRPr="00C96F1A" w:rsidRDefault="00B625AF" w:rsidP="00DD5B39">
      <w:pPr>
        <w:pStyle w:val="Heading6"/>
      </w:pPr>
      <w:r w:rsidRPr="00C96F1A">
        <w:t>Christine Castley</w:t>
      </w:r>
    </w:p>
    <w:p w:rsidR="0028598A" w:rsidRPr="00C96F1A" w:rsidRDefault="00B625AF" w:rsidP="00C96F1A">
      <w:pPr>
        <w:rPr>
          <w:rFonts w:ascii="Arial" w:hAnsi="Arial" w:cs="Arial"/>
        </w:rPr>
      </w:pPr>
      <w:r w:rsidRPr="00C96F1A">
        <w:rPr>
          <w:rFonts w:ascii="Arial" w:hAnsi="Arial" w:cs="Arial"/>
        </w:rPr>
        <w:t>Member: Deputy Director-General, Housing and Homelessness Services</w:t>
      </w:r>
    </w:p>
    <w:p w:rsidR="0028598A" w:rsidRPr="007F0448" w:rsidRDefault="00B625AF" w:rsidP="00C96F1A">
      <w:pPr>
        <w:rPr>
          <w:rFonts w:ascii="Arial" w:hAnsi="Arial" w:cs="Arial"/>
          <w:i/>
        </w:rPr>
      </w:pPr>
      <w:r w:rsidRPr="007F0448">
        <w:rPr>
          <w:rFonts w:ascii="Arial" w:hAnsi="Arial" w:cs="Arial"/>
          <w:i/>
        </w:rPr>
        <w:t>BA/LLB, MPA</w:t>
      </w:r>
    </w:p>
    <w:p w:rsidR="0028598A" w:rsidRPr="00C96F1A" w:rsidRDefault="00B625AF" w:rsidP="00C96F1A">
      <w:pPr>
        <w:rPr>
          <w:rFonts w:ascii="Arial" w:hAnsi="Arial" w:cs="Arial"/>
        </w:rPr>
      </w:pPr>
      <w:r w:rsidRPr="00C96F1A">
        <w:rPr>
          <w:rFonts w:ascii="Arial" w:hAnsi="Arial" w:cs="Arial"/>
        </w:rPr>
        <w:t xml:space="preserve">Christine has been with the department since March 2016, bringing with her over 20 years’ experience in the public sector, and has been instrumental in leading the development of Queensland’s 10 year </w:t>
      </w:r>
      <w:r w:rsidRPr="00D97B08">
        <w:rPr>
          <w:rFonts w:ascii="Arial" w:hAnsi="Arial" w:cs="Arial"/>
          <w:i/>
        </w:rPr>
        <w:t>Housing Strategy</w:t>
      </w:r>
      <w:r w:rsidRPr="00C96F1A">
        <w:rPr>
          <w:rFonts w:ascii="Arial" w:hAnsi="Arial" w:cs="Arial"/>
        </w:rPr>
        <w:t>. Christine has led and coordinated a wide range of whole-of-government social and justice issues in her previous role of Senior Executive Director of Social Policy with the Department of the Premier and Cabinet. In 2014–15, Christine led the Secretariat to the Government’s Taskforce on Domestic and Family Violence. Christine has also worked in the Department of Natural Resources and Mines,</w:t>
      </w:r>
      <w:r w:rsidR="00DD5B39">
        <w:rPr>
          <w:rFonts w:ascii="Arial" w:hAnsi="Arial" w:cs="Arial"/>
        </w:rPr>
        <w:t xml:space="preserve"> </w:t>
      </w:r>
      <w:r w:rsidRPr="00C96F1A">
        <w:rPr>
          <w:rFonts w:ascii="Arial" w:hAnsi="Arial" w:cs="Arial"/>
        </w:rPr>
        <w:t>the Department of State Development and the Queensland Performing Arts Trust.</w:t>
      </w:r>
    </w:p>
    <w:p w:rsidR="0028598A" w:rsidRPr="00C96F1A" w:rsidRDefault="00B625AF" w:rsidP="00DD5B39">
      <w:pPr>
        <w:pStyle w:val="Heading6"/>
      </w:pPr>
      <w:r w:rsidRPr="00C96F1A">
        <w:t>Graham Atkins</w:t>
      </w:r>
    </w:p>
    <w:p w:rsidR="0028598A" w:rsidRPr="00C96F1A" w:rsidRDefault="00B625AF" w:rsidP="00C96F1A">
      <w:pPr>
        <w:rPr>
          <w:rFonts w:ascii="Arial" w:hAnsi="Arial" w:cs="Arial"/>
        </w:rPr>
      </w:pPr>
      <w:r w:rsidRPr="00C96F1A">
        <w:rPr>
          <w:rFonts w:ascii="Arial" w:hAnsi="Arial" w:cs="Arial"/>
        </w:rPr>
        <w:t>Member: Deputy Director-General, Public Works and Asset Management</w:t>
      </w:r>
    </w:p>
    <w:p w:rsidR="0028598A" w:rsidRPr="007F0448" w:rsidRDefault="00B625AF" w:rsidP="00C96F1A">
      <w:pPr>
        <w:rPr>
          <w:rFonts w:ascii="Arial" w:hAnsi="Arial" w:cs="Arial"/>
          <w:i/>
        </w:rPr>
      </w:pPr>
      <w:r w:rsidRPr="007F0448">
        <w:rPr>
          <w:rFonts w:ascii="Arial" w:hAnsi="Arial" w:cs="Arial"/>
          <w:i/>
        </w:rPr>
        <w:t>BASc (Quantity Surveying), ADip App Sc (Building)</w:t>
      </w:r>
    </w:p>
    <w:p w:rsidR="0028598A" w:rsidRPr="00C96F1A" w:rsidRDefault="00B625AF" w:rsidP="00C96F1A">
      <w:pPr>
        <w:rPr>
          <w:rFonts w:ascii="Arial" w:hAnsi="Arial" w:cs="Arial"/>
        </w:rPr>
      </w:pPr>
      <w:r w:rsidRPr="00C96F1A">
        <w:rPr>
          <w:rFonts w:ascii="Arial" w:hAnsi="Arial" w:cs="Arial"/>
        </w:rPr>
        <w:t>Graham has vast experience in the building and construction industry spanning a number of decades. Graham has contributed to the Executive Leadership Team in his role as Deputy Director-General since joining the department in July 2011. Graham has held senior executive positions within other government departments, including Deputy Director-General of the Department of Education and Training, where he was responsible for infrastructure planning and delivery. Graham holds a Queensland Open Builders Licence.</w:t>
      </w:r>
    </w:p>
    <w:p w:rsidR="005D7744" w:rsidRDefault="005D7744">
      <w:pPr>
        <w:spacing w:before="0" w:after="0"/>
        <w:rPr>
          <w:rFonts w:cstheme="majorBidi"/>
          <w:b/>
          <w:bCs/>
          <w:szCs w:val="22"/>
        </w:rPr>
      </w:pPr>
      <w:r>
        <w:br w:type="page"/>
      </w:r>
    </w:p>
    <w:p w:rsidR="0028598A" w:rsidRPr="00C96F1A" w:rsidRDefault="00B625AF" w:rsidP="00DD5B39">
      <w:pPr>
        <w:pStyle w:val="Heading6"/>
      </w:pPr>
      <w:r w:rsidRPr="00C96F1A">
        <w:lastRenderedPageBreak/>
        <w:t>Kimberley Swords</w:t>
      </w:r>
    </w:p>
    <w:p w:rsidR="0028598A" w:rsidRPr="00C96F1A" w:rsidRDefault="00B625AF" w:rsidP="00C96F1A">
      <w:pPr>
        <w:rPr>
          <w:rFonts w:ascii="Arial" w:hAnsi="Arial" w:cs="Arial"/>
        </w:rPr>
      </w:pPr>
      <w:r w:rsidRPr="00C96F1A">
        <w:rPr>
          <w:rFonts w:ascii="Arial" w:hAnsi="Arial" w:cs="Arial"/>
        </w:rPr>
        <w:t>Member: Assistant Director-General and Chief Advisor, Queensland Government Procurement</w:t>
      </w:r>
    </w:p>
    <w:p w:rsidR="0028598A" w:rsidRPr="007F0448" w:rsidRDefault="00B625AF" w:rsidP="00C96F1A">
      <w:pPr>
        <w:rPr>
          <w:rFonts w:ascii="Arial" w:hAnsi="Arial" w:cs="Arial"/>
          <w:i/>
        </w:rPr>
      </w:pPr>
      <w:r w:rsidRPr="007F0448">
        <w:rPr>
          <w:rFonts w:ascii="Arial" w:hAnsi="Arial" w:cs="Arial"/>
          <w:i/>
        </w:rPr>
        <w:t>BVSc (Hons), MBA, GAICD</w:t>
      </w:r>
    </w:p>
    <w:p w:rsidR="0028598A" w:rsidRPr="00C96F1A" w:rsidRDefault="00B625AF" w:rsidP="00C96F1A">
      <w:pPr>
        <w:rPr>
          <w:rFonts w:ascii="Arial" w:hAnsi="Arial" w:cs="Arial"/>
        </w:rPr>
      </w:pPr>
      <w:r w:rsidRPr="00C96F1A">
        <w:rPr>
          <w:rFonts w:ascii="Arial" w:hAnsi="Arial" w:cs="Arial"/>
        </w:rPr>
        <w:t>Kimberley was appointed as Assistant Director-General and Chief Advisor, Queensland Government Procurement in April 2017.</w:t>
      </w:r>
    </w:p>
    <w:p w:rsidR="0028598A" w:rsidRPr="00C96F1A" w:rsidRDefault="00B625AF" w:rsidP="00C96F1A">
      <w:pPr>
        <w:rPr>
          <w:rFonts w:ascii="Arial" w:hAnsi="Arial" w:cs="Arial"/>
        </w:rPr>
      </w:pPr>
      <w:r w:rsidRPr="00C96F1A">
        <w:rPr>
          <w:rFonts w:ascii="Arial" w:hAnsi="Arial" w:cs="Arial"/>
        </w:rPr>
        <w:t>Kimberley has a strong public-sector background, working most recently as Deputy Secretary in the Australian Department of Environment. She has also worked in Victoria for the Department of the Premier and Cabinet, and in a number of policy and program roles across the state’s planning, transport and agriculture portfolios. Before joining the department, Kimberley was a Principal at the Nous Group, leading the public policy practice in Queensland.</w:t>
      </w:r>
    </w:p>
    <w:p w:rsidR="0028598A" w:rsidRPr="00C96F1A" w:rsidRDefault="00B625AF" w:rsidP="00DD5B39">
      <w:pPr>
        <w:pStyle w:val="Heading6"/>
      </w:pPr>
      <w:r w:rsidRPr="00C96F1A">
        <w:t>Paige Ridgewell</w:t>
      </w:r>
    </w:p>
    <w:p w:rsidR="0028598A" w:rsidRPr="00C96F1A" w:rsidRDefault="00B625AF" w:rsidP="00C96F1A">
      <w:pPr>
        <w:rPr>
          <w:rFonts w:ascii="Arial" w:hAnsi="Arial" w:cs="Arial"/>
        </w:rPr>
      </w:pPr>
      <w:r w:rsidRPr="00C96F1A">
        <w:rPr>
          <w:rFonts w:ascii="Arial" w:hAnsi="Arial" w:cs="Arial"/>
        </w:rPr>
        <w:t>Member: Deputy Director-General, Sport and Recreation Services</w:t>
      </w:r>
    </w:p>
    <w:p w:rsidR="0028598A" w:rsidRPr="007F0448" w:rsidRDefault="00B625AF" w:rsidP="00C96F1A">
      <w:pPr>
        <w:rPr>
          <w:rFonts w:ascii="Arial" w:hAnsi="Arial" w:cs="Arial"/>
          <w:i/>
        </w:rPr>
      </w:pPr>
      <w:r w:rsidRPr="007F0448">
        <w:rPr>
          <w:rFonts w:ascii="Arial" w:hAnsi="Arial" w:cs="Arial"/>
          <w:i/>
        </w:rPr>
        <w:t>BLeisSt, MBA, MPP</w:t>
      </w:r>
    </w:p>
    <w:p w:rsidR="0028598A" w:rsidRPr="00C96F1A" w:rsidRDefault="00B625AF" w:rsidP="00C96F1A">
      <w:pPr>
        <w:rPr>
          <w:rFonts w:ascii="Arial" w:hAnsi="Arial" w:cs="Arial"/>
        </w:rPr>
      </w:pPr>
      <w:r w:rsidRPr="00C96F1A">
        <w:rPr>
          <w:rFonts w:ascii="Arial" w:hAnsi="Arial" w:cs="Arial"/>
        </w:rPr>
        <w:t>Paige has more than 30 years’ experience in the sport and recreation industry as an athlete, coach and administrator.</w:t>
      </w:r>
    </w:p>
    <w:p w:rsidR="0028598A" w:rsidRPr="00C96F1A" w:rsidRDefault="00B625AF" w:rsidP="00C96F1A">
      <w:pPr>
        <w:rPr>
          <w:rFonts w:ascii="Arial" w:hAnsi="Arial" w:cs="Arial"/>
        </w:rPr>
      </w:pPr>
      <w:r w:rsidRPr="00C96F1A">
        <w:rPr>
          <w:rFonts w:ascii="Arial" w:hAnsi="Arial" w:cs="Arial"/>
        </w:rPr>
        <w:t>Since joining the Queensland Government in 1993, Paige has held positions in program development and delivery, infrastructure development, industry development and capacity building, land use planning, research, governance, legislation and policy. During her public service career, Paige</w:t>
      </w:r>
      <w:r w:rsidR="00A71B04">
        <w:rPr>
          <w:rFonts w:ascii="Arial" w:hAnsi="Arial" w:cs="Arial"/>
        </w:rPr>
        <w:t xml:space="preserve"> </w:t>
      </w:r>
      <w:r w:rsidRPr="00C96F1A">
        <w:rPr>
          <w:rFonts w:ascii="Arial" w:hAnsi="Arial" w:cs="Arial"/>
        </w:rPr>
        <w:t>has worked across a number of portfolios including main roads, racing, infrastructure and planning, national parks, sport and recreation.</w:t>
      </w:r>
    </w:p>
    <w:p w:rsidR="0028598A" w:rsidRPr="00C96F1A" w:rsidRDefault="00B625AF" w:rsidP="00C96F1A">
      <w:pPr>
        <w:rPr>
          <w:rFonts w:ascii="Arial" w:hAnsi="Arial" w:cs="Arial"/>
        </w:rPr>
      </w:pPr>
      <w:r w:rsidRPr="00C96F1A">
        <w:rPr>
          <w:rFonts w:ascii="Arial" w:hAnsi="Arial" w:cs="Arial"/>
        </w:rPr>
        <w:t>Prior to this role, Paige was the Executive Director in Strategic Policy and Racing Industry Governance, where she successfully merged her government and industry experience to lead the development of strategic policy and strategic planning.</w:t>
      </w:r>
    </w:p>
    <w:p w:rsidR="0028598A" w:rsidRPr="00C96F1A" w:rsidRDefault="00B625AF" w:rsidP="00DD5B39">
      <w:pPr>
        <w:pStyle w:val="Heading6"/>
      </w:pPr>
      <w:r w:rsidRPr="00C96F1A">
        <w:t>Don Rivers</w:t>
      </w:r>
    </w:p>
    <w:p w:rsidR="0028598A" w:rsidRPr="00C96F1A" w:rsidRDefault="00B625AF" w:rsidP="00C96F1A">
      <w:pPr>
        <w:rPr>
          <w:rFonts w:ascii="Arial" w:hAnsi="Arial" w:cs="Arial"/>
        </w:rPr>
      </w:pPr>
      <w:r w:rsidRPr="00C96F1A">
        <w:rPr>
          <w:rFonts w:ascii="Arial" w:hAnsi="Arial" w:cs="Arial"/>
        </w:rPr>
        <w:t>Member: Assistant Director-General, Building Industry and Policy</w:t>
      </w:r>
    </w:p>
    <w:p w:rsidR="0028598A" w:rsidRPr="007F0448" w:rsidRDefault="00B625AF" w:rsidP="00C96F1A">
      <w:pPr>
        <w:rPr>
          <w:rFonts w:ascii="Arial" w:hAnsi="Arial" w:cs="Arial"/>
          <w:i/>
        </w:rPr>
      </w:pPr>
      <w:r w:rsidRPr="007F0448">
        <w:rPr>
          <w:rFonts w:ascii="Arial" w:hAnsi="Arial" w:cs="Arial"/>
          <w:i/>
        </w:rPr>
        <w:t>Dip Arch, GDip (Building Project Mgt)</w:t>
      </w:r>
    </w:p>
    <w:p w:rsidR="0028598A" w:rsidRPr="00C96F1A" w:rsidRDefault="00B625AF" w:rsidP="00C96F1A">
      <w:pPr>
        <w:rPr>
          <w:rFonts w:ascii="Arial" w:hAnsi="Arial" w:cs="Arial"/>
        </w:rPr>
      </w:pPr>
      <w:r w:rsidRPr="00C96F1A">
        <w:rPr>
          <w:rFonts w:ascii="Arial" w:hAnsi="Arial" w:cs="Arial"/>
        </w:rPr>
        <w:t>Don was appointed to the role of Assistant Director-General, Building Industry and Policy in July 2013. Don is responsible for the delivery of policy development and legislative reform related to the building industry and maintaining open and professional stakeholder engagement with the design and building construction sector on behalf of the department.</w:t>
      </w:r>
    </w:p>
    <w:p w:rsidR="0028598A" w:rsidRPr="00C96F1A" w:rsidRDefault="00B625AF" w:rsidP="00C96F1A">
      <w:pPr>
        <w:rPr>
          <w:rFonts w:ascii="Arial" w:hAnsi="Arial" w:cs="Arial"/>
        </w:rPr>
      </w:pPr>
      <w:r w:rsidRPr="00C96F1A">
        <w:rPr>
          <w:rFonts w:ascii="Arial" w:hAnsi="Arial" w:cs="Arial"/>
        </w:rPr>
        <w:t>Don joined the department in 1995 after 20 years in the private sector as an architect, delivering many of Queensland’s capital works projects. Don has held a number of positions in the department’s former commercialised business unit, Project Services, including Regional Architect, Client Manager, Portfolio Director and General Manager.</w:t>
      </w:r>
    </w:p>
    <w:p w:rsidR="0028598A" w:rsidRPr="00C96F1A" w:rsidRDefault="00B625AF" w:rsidP="00DD5B39">
      <w:pPr>
        <w:pStyle w:val="Heading6"/>
      </w:pPr>
      <w:r w:rsidRPr="00C96F1A">
        <w:t>Robyn Turbit</w:t>
      </w:r>
    </w:p>
    <w:p w:rsidR="0028598A" w:rsidRPr="00C96F1A" w:rsidRDefault="00B625AF" w:rsidP="00C96F1A">
      <w:pPr>
        <w:rPr>
          <w:rFonts w:ascii="Arial" w:hAnsi="Arial" w:cs="Arial"/>
        </w:rPr>
      </w:pPr>
      <w:r w:rsidRPr="00C96F1A">
        <w:rPr>
          <w:rFonts w:ascii="Arial" w:hAnsi="Arial" w:cs="Arial"/>
        </w:rPr>
        <w:t>Member: Assistant Director-General, Corporate Services</w:t>
      </w:r>
    </w:p>
    <w:p w:rsidR="0028598A" w:rsidRPr="007F0448" w:rsidRDefault="00B625AF" w:rsidP="00C96F1A">
      <w:pPr>
        <w:rPr>
          <w:rFonts w:ascii="Arial" w:hAnsi="Arial" w:cs="Arial"/>
          <w:i/>
        </w:rPr>
      </w:pPr>
      <w:r w:rsidRPr="007F0448">
        <w:rPr>
          <w:rFonts w:ascii="Arial" w:hAnsi="Arial" w:cs="Arial"/>
          <w:i/>
        </w:rPr>
        <w:t>BComm, BEcon</w:t>
      </w:r>
    </w:p>
    <w:p w:rsidR="0028598A" w:rsidRPr="00C96F1A" w:rsidRDefault="00B625AF" w:rsidP="00C96F1A">
      <w:pPr>
        <w:rPr>
          <w:rFonts w:ascii="Arial" w:hAnsi="Arial" w:cs="Arial"/>
        </w:rPr>
      </w:pPr>
      <w:r w:rsidRPr="00C96F1A">
        <w:rPr>
          <w:rFonts w:ascii="Arial" w:hAnsi="Arial" w:cs="Arial"/>
        </w:rPr>
        <w:t>Robyn has worked in various iterations of the Department of Housing and Public Works for about 30 years. Robyn was</w:t>
      </w:r>
    </w:p>
    <w:p w:rsidR="0028598A" w:rsidRPr="00C96F1A" w:rsidRDefault="00B625AF" w:rsidP="00C96F1A">
      <w:pPr>
        <w:rPr>
          <w:rFonts w:ascii="Arial" w:hAnsi="Arial" w:cs="Arial"/>
        </w:rPr>
      </w:pPr>
      <w:r w:rsidRPr="00C96F1A">
        <w:rPr>
          <w:rFonts w:ascii="Arial" w:hAnsi="Arial" w:cs="Arial"/>
        </w:rPr>
        <w:t>appointed as the first Internal Audit Manager for the department and went on to fill a variety of positions until her appointment to the Assistant Director-General, Corporate Services position in 2007.</w:t>
      </w:r>
    </w:p>
    <w:p w:rsidR="0028598A" w:rsidRPr="00C96F1A" w:rsidRDefault="00B625AF" w:rsidP="00C96F1A">
      <w:pPr>
        <w:rPr>
          <w:rFonts w:ascii="Arial" w:hAnsi="Arial" w:cs="Arial"/>
        </w:rPr>
      </w:pPr>
      <w:r w:rsidRPr="00C96F1A">
        <w:rPr>
          <w:rFonts w:ascii="Arial" w:hAnsi="Arial" w:cs="Arial"/>
        </w:rPr>
        <w:lastRenderedPageBreak/>
        <w:t>In the span of her 40-year career, Robyn has worked in various public and private sectors, predominantly in accounting, auditing and governance functions; and has undertaken roles using many employment styles, including full-time, part-time, telecommuting and contracting.</w:t>
      </w:r>
    </w:p>
    <w:p w:rsidR="0028598A" w:rsidRPr="00C96F1A" w:rsidRDefault="00B625AF" w:rsidP="00DD5B39">
      <w:pPr>
        <w:pStyle w:val="Heading6"/>
      </w:pPr>
      <w:r w:rsidRPr="00C96F1A">
        <w:t>Dallas Stower</w:t>
      </w:r>
    </w:p>
    <w:p w:rsidR="0028598A" w:rsidRPr="00C96F1A" w:rsidRDefault="00B625AF" w:rsidP="00C96F1A">
      <w:pPr>
        <w:rPr>
          <w:rFonts w:ascii="Arial" w:hAnsi="Arial" w:cs="Arial"/>
        </w:rPr>
      </w:pPr>
      <w:r w:rsidRPr="00C96F1A">
        <w:rPr>
          <w:rFonts w:ascii="Arial" w:hAnsi="Arial" w:cs="Arial"/>
        </w:rPr>
        <w:t>Member: Assistant Director-General, Strategic ICT</w:t>
      </w:r>
    </w:p>
    <w:p w:rsidR="0028598A" w:rsidRPr="007F0448" w:rsidRDefault="00B625AF" w:rsidP="00C96F1A">
      <w:pPr>
        <w:rPr>
          <w:rFonts w:ascii="Arial" w:hAnsi="Arial" w:cs="Arial"/>
          <w:i/>
        </w:rPr>
      </w:pPr>
      <w:r w:rsidRPr="007F0448">
        <w:rPr>
          <w:rFonts w:ascii="Arial" w:hAnsi="Arial" w:cs="Arial"/>
          <w:i/>
        </w:rPr>
        <w:t>BBus (Comp), GradCert</w:t>
      </w:r>
      <w:r w:rsidR="00D603EA" w:rsidRPr="007F0448">
        <w:rPr>
          <w:rFonts w:ascii="Arial" w:hAnsi="Arial" w:cs="Arial"/>
          <w:i/>
        </w:rPr>
        <w:t xml:space="preserve"> </w:t>
      </w:r>
      <w:r w:rsidRPr="007F0448">
        <w:rPr>
          <w:rFonts w:ascii="Arial" w:hAnsi="Arial" w:cs="Arial"/>
          <w:i/>
        </w:rPr>
        <w:t>(PSM) GAICD</w:t>
      </w:r>
    </w:p>
    <w:p w:rsidR="0028598A" w:rsidRPr="00C96F1A" w:rsidRDefault="00B625AF" w:rsidP="00C96F1A">
      <w:pPr>
        <w:rPr>
          <w:rFonts w:ascii="Arial" w:hAnsi="Arial" w:cs="Arial"/>
        </w:rPr>
      </w:pPr>
      <w:r w:rsidRPr="00C96F1A">
        <w:rPr>
          <w:rFonts w:ascii="Arial" w:hAnsi="Arial" w:cs="Arial"/>
        </w:rPr>
        <w:t>Dallas has over 30 years’ experience in the ICT industry across a range of senior leadership positions. In his role as Assistant</w:t>
      </w:r>
    </w:p>
    <w:p w:rsidR="0028598A" w:rsidRPr="00C96F1A" w:rsidRDefault="00B625AF" w:rsidP="00C96F1A">
      <w:pPr>
        <w:rPr>
          <w:rFonts w:ascii="Arial" w:hAnsi="Arial" w:cs="Arial"/>
        </w:rPr>
      </w:pPr>
      <w:r w:rsidRPr="00C96F1A">
        <w:rPr>
          <w:rFonts w:ascii="Arial" w:hAnsi="Arial" w:cs="Arial"/>
        </w:rPr>
        <w:t>Director-General, Strategic ICT, Dallas leads the development and implementation of initiatives that strengthen Queensland’s ICT service delivery. Dallas is responsible for ICT Strategic Sourcing, CITEC ICT, Strategic ICT Projects and CITEC Information Brokerage.</w:t>
      </w:r>
    </w:p>
    <w:p w:rsidR="0028598A" w:rsidRPr="00C96F1A" w:rsidRDefault="00B625AF" w:rsidP="00C96F1A">
      <w:pPr>
        <w:rPr>
          <w:rFonts w:ascii="Arial" w:hAnsi="Arial" w:cs="Arial"/>
        </w:rPr>
      </w:pPr>
      <w:r w:rsidRPr="00C96F1A">
        <w:rPr>
          <w:rFonts w:ascii="Arial" w:hAnsi="Arial" w:cs="Arial"/>
        </w:rPr>
        <w:t>Dallas commenced his ICT career with the Department of Defence in Canberra and followed up with a number of roles in the Australian Public Service before returning to his home state of Queensland. His senior leadership roles in Queensland include General Manager, CITEC; Executive Director, Telecommunications and Digital Economy Coordination Office; and Chief Information Officer, Queensland Rail.</w:t>
      </w:r>
    </w:p>
    <w:p w:rsidR="0028598A" w:rsidRPr="00C96F1A" w:rsidRDefault="00B625AF" w:rsidP="00DD5B39">
      <w:pPr>
        <w:pStyle w:val="Heading6"/>
      </w:pPr>
      <w:r w:rsidRPr="00C96F1A">
        <w:t>Andrew Spina</w:t>
      </w:r>
    </w:p>
    <w:p w:rsidR="0028598A" w:rsidRPr="00C96F1A" w:rsidRDefault="00B625AF" w:rsidP="00C96F1A">
      <w:pPr>
        <w:rPr>
          <w:rFonts w:ascii="Arial" w:hAnsi="Arial" w:cs="Arial"/>
        </w:rPr>
      </w:pPr>
      <w:r w:rsidRPr="00C96F1A">
        <w:rPr>
          <w:rFonts w:ascii="Arial" w:hAnsi="Arial" w:cs="Arial"/>
        </w:rPr>
        <w:t>Member: Assistant Director-General, Digital Capability, Information and Transaction Based Services</w:t>
      </w:r>
    </w:p>
    <w:p w:rsidR="0028598A" w:rsidRPr="007F0448" w:rsidRDefault="00B625AF" w:rsidP="00C96F1A">
      <w:pPr>
        <w:rPr>
          <w:rFonts w:ascii="Arial" w:hAnsi="Arial" w:cs="Arial"/>
          <w:i/>
        </w:rPr>
      </w:pPr>
      <w:r w:rsidRPr="007F0448">
        <w:rPr>
          <w:rFonts w:ascii="Arial" w:hAnsi="Arial" w:cs="Arial"/>
          <w:i/>
        </w:rPr>
        <w:t>BSc (Comp)</w:t>
      </w:r>
    </w:p>
    <w:p w:rsidR="0028598A" w:rsidRPr="00C96F1A" w:rsidRDefault="00B625AF" w:rsidP="00C96F1A">
      <w:pPr>
        <w:rPr>
          <w:rFonts w:ascii="Arial" w:hAnsi="Arial" w:cs="Arial"/>
        </w:rPr>
      </w:pPr>
      <w:r w:rsidRPr="00C96F1A">
        <w:rPr>
          <w:rFonts w:ascii="Arial" w:hAnsi="Arial" w:cs="Arial"/>
        </w:rPr>
        <w:t xml:space="preserve">Andrew has worked in the Queensland public sector for more than 30 years and has extensive experience in leading the delivery of information </w:t>
      </w:r>
      <w:r w:rsidR="00D603EA">
        <w:rPr>
          <w:rFonts w:ascii="Arial" w:hAnsi="Arial" w:cs="Arial"/>
        </w:rPr>
        <w:t xml:space="preserve">and </w:t>
      </w:r>
      <w:r w:rsidRPr="00C96F1A">
        <w:rPr>
          <w:rFonts w:ascii="Arial" w:hAnsi="Arial" w:cs="Arial"/>
        </w:rPr>
        <w:t>communication</w:t>
      </w:r>
      <w:r w:rsidR="00D603EA">
        <w:rPr>
          <w:rFonts w:ascii="Arial" w:hAnsi="Arial" w:cs="Arial"/>
        </w:rPr>
        <w:t>s</w:t>
      </w:r>
      <w:r w:rsidRPr="00C96F1A">
        <w:rPr>
          <w:rFonts w:ascii="Arial" w:hAnsi="Arial" w:cs="Arial"/>
        </w:rPr>
        <w:t xml:space="preserve"> technology services and the delivery of government services.</w:t>
      </w:r>
    </w:p>
    <w:p w:rsidR="0028598A" w:rsidRPr="00C96F1A" w:rsidRDefault="00B625AF" w:rsidP="00C96F1A">
      <w:pPr>
        <w:rPr>
          <w:rFonts w:ascii="Arial" w:hAnsi="Arial" w:cs="Arial"/>
        </w:rPr>
      </w:pPr>
      <w:r w:rsidRPr="00C96F1A">
        <w:rPr>
          <w:rFonts w:ascii="Arial" w:hAnsi="Arial" w:cs="Arial"/>
        </w:rPr>
        <w:t>Andrew has undertaken Deputy Director-General and Assistant Director-General roles providing strategic leadership to CITEC, ICT Strategic Sourcing, ICT Renewal, Smart Service Queensland, Queensland State Archives, the One-Stop Shop program and digital economy development programs.</w:t>
      </w:r>
    </w:p>
    <w:p w:rsidR="0028598A" w:rsidRPr="00C96F1A" w:rsidRDefault="00B625AF" w:rsidP="00C96F1A">
      <w:pPr>
        <w:rPr>
          <w:rFonts w:ascii="Arial" w:hAnsi="Arial" w:cs="Arial"/>
        </w:rPr>
      </w:pPr>
      <w:r w:rsidRPr="00C96F1A">
        <w:rPr>
          <w:rFonts w:ascii="Arial" w:hAnsi="Arial" w:cs="Arial"/>
        </w:rPr>
        <w:t>Andrew’s previous appointments include Associate Director- General, Government ICT, Department of Public Works</w:t>
      </w:r>
      <w:r w:rsidR="0099149A">
        <w:rPr>
          <w:rFonts w:ascii="Arial" w:hAnsi="Arial" w:cs="Arial"/>
        </w:rPr>
        <w:t>;</w:t>
      </w:r>
      <w:r w:rsidRPr="00C96F1A">
        <w:rPr>
          <w:rFonts w:ascii="Arial" w:hAnsi="Arial" w:cs="Arial"/>
        </w:rPr>
        <w:t xml:space="preserve"> Chief Information Officer, Department of Communities and Public Works and Housing</w:t>
      </w:r>
      <w:r w:rsidR="00D97B08">
        <w:rPr>
          <w:rFonts w:ascii="Arial" w:hAnsi="Arial" w:cs="Arial"/>
        </w:rPr>
        <w:t>;</w:t>
      </w:r>
      <w:r w:rsidRPr="00C96F1A">
        <w:rPr>
          <w:rFonts w:ascii="Arial" w:hAnsi="Arial" w:cs="Arial"/>
        </w:rPr>
        <w:t xml:space="preserve"> and roles in CITEC and Treasury.</w:t>
      </w:r>
    </w:p>
    <w:p w:rsidR="0028598A" w:rsidRPr="00C96F1A" w:rsidRDefault="00B625AF" w:rsidP="00DD5B39">
      <w:pPr>
        <w:pStyle w:val="Heading6"/>
      </w:pPr>
      <w:r w:rsidRPr="00C96F1A">
        <w:t>Irene Violet</w:t>
      </w:r>
    </w:p>
    <w:p w:rsidR="0028598A" w:rsidRPr="00C96F1A" w:rsidRDefault="00B625AF" w:rsidP="00C96F1A">
      <w:pPr>
        <w:rPr>
          <w:rFonts w:ascii="Arial" w:hAnsi="Arial" w:cs="Arial"/>
        </w:rPr>
      </w:pPr>
      <w:r w:rsidRPr="00C96F1A">
        <w:rPr>
          <w:rFonts w:ascii="Arial" w:hAnsi="Arial" w:cs="Arial"/>
        </w:rPr>
        <w:t>Member: Assistant Director-General, Queensland Shared Services</w:t>
      </w:r>
    </w:p>
    <w:p w:rsidR="0028598A" w:rsidRPr="007F0448" w:rsidRDefault="00B625AF" w:rsidP="00C96F1A">
      <w:pPr>
        <w:rPr>
          <w:rFonts w:ascii="Arial" w:hAnsi="Arial" w:cs="Arial"/>
          <w:i/>
        </w:rPr>
      </w:pPr>
      <w:r w:rsidRPr="007F0448">
        <w:rPr>
          <w:rFonts w:ascii="Arial" w:hAnsi="Arial" w:cs="Arial"/>
          <w:i/>
        </w:rPr>
        <w:t>MAICD, BA (Psych), BHealthSc, MBA</w:t>
      </w:r>
    </w:p>
    <w:p w:rsidR="0028598A" w:rsidRPr="00C96F1A" w:rsidRDefault="00B625AF" w:rsidP="00C96F1A">
      <w:pPr>
        <w:rPr>
          <w:rFonts w:ascii="Arial" w:hAnsi="Arial" w:cs="Arial"/>
        </w:rPr>
      </w:pPr>
      <w:r w:rsidRPr="00C96F1A">
        <w:rPr>
          <w:rFonts w:ascii="Arial" w:hAnsi="Arial" w:cs="Arial"/>
        </w:rPr>
        <w:t>Irene has been in the role of Assistant Director General, Queensland Shared Services since May 2015. In this role Irene is responsible for modernising and optimising the shared services used by 25 Queensland Government agencies and departments. She brings to this role a wealth of experience in customer service, digital transformation and management of high-volume processing, primarily in a commercially oriented public-sector environment.</w:t>
      </w:r>
    </w:p>
    <w:p w:rsidR="0028598A" w:rsidRPr="00C96F1A" w:rsidRDefault="00B625AF" w:rsidP="00C96F1A">
      <w:pPr>
        <w:rPr>
          <w:rFonts w:ascii="Arial" w:hAnsi="Arial" w:cs="Arial"/>
        </w:rPr>
      </w:pPr>
      <w:r w:rsidRPr="00C96F1A">
        <w:rPr>
          <w:rFonts w:ascii="Arial" w:hAnsi="Arial" w:cs="Arial"/>
        </w:rPr>
        <w:t>In her previous role as General Manager, Corporate Services at WorkCover Queensland, she was responsible for the contact centre, high volume processing centres and specialist advisory teams such as customer compliance. Irene also held a number of senior management roles in customer service at WorkCover.</w:t>
      </w:r>
    </w:p>
    <w:p w:rsidR="005D7744" w:rsidRDefault="005D7744">
      <w:pPr>
        <w:spacing w:before="0" w:after="0"/>
        <w:rPr>
          <w:rFonts w:cstheme="majorBidi"/>
          <w:b/>
          <w:bCs/>
          <w:szCs w:val="22"/>
        </w:rPr>
      </w:pPr>
      <w:r>
        <w:br w:type="page"/>
      </w:r>
    </w:p>
    <w:p w:rsidR="0028598A" w:rsidRPr="00C96F1A" w:rsidRDefault="00B625AF" w:rsidP="00DD5B39">
      <w:pPr>
        <w:pStyle w:val="Heading6"/>
      </w:pPr>
      <w:bookmarkStart w:id="68" w:name="EXECUTIVE_MANAGEMENT_END"/>
      <w:r w:rsidRPr="00C96F1A">
        <w:lastRenderedPageBreak/>
        <w:t xml:space="preserve">Andrew </w:t>
      </w:r>
      <w:bookmarkEnd w:id="68"/>
      <w:r w:rsidRPr="00C96F1A">
        <w:t>Mills</w:t>
      </w:r>
    </w:p>
    <w:p w:rsidR="0028598A" w:rsidRPr="00C96F1A" w:rsidRDefault="00B625AF" w:rsidP="00C96F1A">
      <w:pPr>
        <w:rPr>
          <w:rFonts w:ascii="Arial" w:hAnsi="Arial" w:cs="Arial"/>
        </w:rPr>
      </w:pPr>
      <w:r w:rsidRPr="00C96F1A">
        <w:rPr>
          <w:rFonts w:ascii="Arial" w:hAnsi="Arial" w:cs="Arial"/>
        </w:rPr>
        <w:t>Member: Queensland Government Chief Information Officer</w:t>
      </w:r>
    </w:p>
    <w:p w:rsidR="0028598A" w:rsidRPr="007F0448" w:rsidRDefault="00B625AF" w:rsidP="00C96F1A">
      <w:pPr>
        <w:rPr>
          <w:rFonts w:ascii="Arial" w:hAnsi="Arial" w:cs="Arial"/>
          <w:i/>
        </w:rPr>
      </w:pPr>
      <w:r w:rsidRPr="007F0448">
        <w:rPr>
          <w:rFonts w:ascii="Arial" w:hAnsi="Arial" w:cs="Arial"/>
          <w:i/>
        </w:rPr>
        <w:t>BSc, MSc (Electronic Systems)</w:t>
      </w:r>
    </w:p>
    <w:p w:rsidR="0028598A" w:rsidRPr="00C96F1A" w:rsidRDefault="00B625AF" w:rsidP="00C96F1A">
      <w:pPr>
        <w:rPr>
          <w:rFonts w:ascii="Arial" w:hAnsi="Arial" w:cs="Arial"/>
        </w:rPr>
      </w:pPr>
      <w:r w:rsidRPr="00C96F1A">
        <w:rPr>
          <w:rFonts w:ascii="Arial" w:hAnsi="Arial" w:cs="Arial"/>
        </w:rPr>
        <w:t>Andrew was appointed Queensland Government Chief Information Officer in January 2014. In this role he provides independent advice to Ministers, Directors-General and agencies. Advice focusses on management and investment issues for information and communication technology (ICT) enabled initiatives from a whole-of-government perspective to deliver improved services to Queenslanders.</w:t>
      </w:r>
    </w:p>
    <w:p w:rsidR="0028598A" w:rsidRPr="00C96F1A" w:rsidRDefault="00B625AF" w:rsidP="00C96F1A">
      <w:pPr>
        <w:rPr>
          <w:rFonts w:ascii="Arial" w:hAnsi="Arial" w:cs="Arial"/>
        </w:rPr>
      </w:pPr>
      <w:r w:rsidRPr="00C96F1A">
        <w:rPr>
          <w:rFonts w:ascii="Arial" w:hAnsi="Arial" w:cs="Arial"/>
        </w:rPr>
        <w:t>Andrew’s priorities include increasing transparency of ICT projects in government, improving governance processes for investment in ICT, strengthening the Queensland Government’s cyber security preparedness and improving the usage and sharing of data and information to improve services to Queenslanders.</w:t>
      </w:r>
    </w:p>
    <w:p w:rsidR="0099149A" w:rsidRPr="00C96F1A" w:rsidRDefault="0099149A" w:rsidP="0099149A">
      <w:pPr>
        <w:pStyle w:val="Heading3"/>
      </w:pPr>
      <w:bookmarkStart w:id="69" w:name="_TOC_250010"/>
      <w:bookmarkStart w:id="70" w:name="_TOC_250009"/>
      <w:bookmarkEnd w:id="69"/>
      <w:bookmarkEnd w:id="70"/>
      <w:r w:rsidRPr="00C96F1A">
        <w:t>Governance Committees</w:t>
      </w:r>
    </w:p>
    <w:p w:rsidR="0099149A" w:rsidRPr="00C96F1A" w:rsidRDefault="0099149A" w:rsidP="0099149A">
      <w:pPr>
        <w:pStyle w:val="Heading4"/>
      </w:pPr>
      <w:bookmarkStart w:id="71" w:name="AUDIT_COMMITTEE"/>
      <w:r w:rsidRPr="00C96F1A">
        <w:t xml:space="preserve">Audit </w:t>
      </w:r>
      <w:bookmarkEnd w:id="71"/>
      <w:r w:rsidRPr="00C96F1A">
        <w:t>and Risk Committee</w:t>
      </w:r>
    </w:p>
    <w:p w:rsidR="0099149A" w:rsidRPr="00C96F1A" w:rsidRDefault="0099149A" w:rsidP="0099149A">
      <w:pPr>
        <w:rPr>
          <w:rFonts w:ascii="Arial" w:hAnsi="Arial" w:cs="Arial"/>
        </w:rPr>
      </w:pPr>
      <w:r w:rsidRPr="00C96F1A">
        <w:rPr>
          <w:rFonts w:ascii="Arial" w:hAnsi="Arial" w:cs="Arial"/>
        </w:rPr>
        <w:t xml:space="preserve">The accountable officer has established an Audit and Risk Committee pursuant to sections 28(3) and 35(1) of the </w:t>
      </w:r>
      <w:r w:rsidRPr="00654D92">
        <w:rPr>
          <w:rFonts w:ascii="Arial" w:hAnsi="Arial" w:cs="Arial"/>
          <w:i/>
        </w:rPr>
        <w:t>Financial and Performance Management Standard 2009</w:t>
      </w:r>
      <w:r w:rsidRPr="00C96F1A">
        <w:rPr>
          <w:rFonts w:ascii="Arial" w:hAnsi="Arial" w:cs="Arial"/>
        </w:rPr>
        <w:t xml:space="preserve"> (the Standard). The committee supports the Director-General in discharging responsibilities under the Financial </w:t>
      </w:r>
      <w:r w:rsidRPr="00654D92">
        <w:rPr>
          <w:rFonts w:ascii="Arial" w:hAnsi="Arial" w:cs="Arial"/>
          <w:i/>
        </w:rPr>
        <w:t>Accountability Act 2009</w:t>
      </w:r>
      <w:r w:rsidR="00654D92">
        <w:rPr>
          <w:rFonts w:ascii="Arial" w:hAnsi="Arial" w:cs="Arial"/>
          <w:i/>
        </w:rPr>
        <w:t xml:space="preserve"> </w:t>
      </w:r>
      <w:r w:rsidRPr="00C96F1A">
        <w:rPr>
          <w:rFonts w:ascii="Arial" w:hAnsi="Arial" w:cs="Arial"/>
        </w:rPr>
        <w:t>and the Standard, and other relevant legislation and prescribed requirements through the provision of independent advisory services.</w:t>
      </w:r>
    </w:p>
    <w:p w:rsidR="0099149A" w:rsidRPr="00C96F1A" w:rsidRDefault="0099149A" w:rsidP="0099149A">
      <w:pPr>
        <w:rPr>
          <w:rFonts w:ascii="Arial" w:hAnsi="Arial" w:cs="Arial"/>
        </w:rPr>
      </w:pPr>
      <w:r w:rsidRPr="00C96F1A">
        <w:rPr>
          <w:rFonts w:ascii="Arial" w:hAnsi="Arial" w:cs="Arial"/>
        </w:rPr>
        <w:t xml:space="preserve">The committee’s charter sets out the authority, roles and responsibilities, membership and operations expected of the committee. The committee observed its charter in 2017–18 and had due regard to the </w:t>
      </w:r>
      <w:r w:rsidRPr="0006740F">
        <w:rPr>
          <w:rFonts w:ascii="Arial" w:hAnsi="Arial" w:cs="Arial"/>
          <w:i/>
        </w:rPr>
        <w:t>Audit Committee Guidelines</w:t>
      </w:r>
      <w:r w:rsidR="0006740F">
        <w:rPr>
          <w:rFonts w:ascii="Arial" w:hAnsi="Arial" w:cs="Arial"/>
          <w:i/>
        </w:rPr>
        <w:t>.</w:t>
      </w:r>
    </w:p>
    <w:p w:rsidR="0099149A" w:rsidRPr="00C96F1A" w:rsidRDefault="0099149A" w:rsidP="0099149A">
      <w:pPr>
        <w:rPr>
          <w:rFonts w:ascii="Arial" w:hAnsi="Arial" w:cs="Arial"/>
        </w:rPr>
      </w:pPr>
      <w:r w:rsidRPr="00665F8D">
        <w:rPr>
          <w:rFonts w:ascii="Arial" w:hAnsi="Arial" w:cs="Arial"/>
          <w:b/>
        </w:rPr>
        <w:t>Chair:</w:t>
      </w:r>
      <w:r w:rsidRPr="00C96F1A">
        <w:rPr>
          <w:rFonts w:ascii="Arial" w:hAnsi="Arial" w:cs="Arial"/>
        </w:rPr>
        <w:t xml:space="preserve"> Eric Muir FCPA (External Member)</w:t>
      </w:r>
    </w:p>
    <w:p w:rsidR="0099149A" w:rsidRPr="00665F8D" w:rsidRDefault="0099149A" w:rsidP="0099149A">
      <w:pPr>
        <w:rPr>
          <w:rFonts w:ascii="Arial" w:hAnsi="Arial" w:cs="Arial"/>
          <w:b/>
        </w:rPr>
      </w:pPr>
      <w:r>
        <w:rPr>
          <w:rFonts w:ascii="Arial" w:hAnsi="Arial" w:cs="Arial"/>
          <w:b/>
        </w:rPr>
        <w:t>M</w:t>
      </w:r>
      <w:r w:rsidRPr="00665F8D">
        <w:rPr>
          <w:rFonts w:ascii="Arial" w:hAnsi="Arial" w:cs="Arial"/>
          <w:b/>
        </w:rPr>
        <w:t>embers:</w:t>
      </w:r>
    </w:p>
    <w:p w:rsidR="0099149A" w:rsidRPr="00665F8D" w:rsidRDefault="0099149A" w:rsidP="00D806AE">
      <w:pPr>
        <w:pStyle w:val="ListParagraph"/>
        <w:numPr>
          <w:ilvl w:val="0"/>
          <w:numId w:val="36"/>
        </w:numPr>
        <w:rPr>
          <w:rFonts w:ascii="Arial" w:hAnsi="Arial" w:cs="Arial"/>
        </w:rPr>
      </w:pPr>
      <w:r w:rsidRPr="00665F8D">
        <w:rPr>
          <w:rFonts w:ascii="Arial" w:hAnsi="Arial" w:cs="Arial"/>
        </w:rPr>
        <w:t>Assistant Director-General and Chief Advisor, Queensland Government Procurement</w:t>
      </w:r>
    </w:p>
    <w:p w:rsidR="0099149A" w:rsidRPr="00665F8D" w:rsidRDefault="0099149A" w:rsidP="00D806AE">
      <w:pPr>
        <w:pStyle w:val="ListParagraph"/>
        <w:numPr>
          <w:ilvl w:val="0"/>
          <w:numId w:val="36"/>
        </w:numPr>
        <w:rPr>
          <w:rFonts w:ascii="Arial" w:hAnsi="Arial" w:cs="Arial"/>
        </w:rPr>
      </w:pPr>
      <w:r w:rsidRPr="00665F8D">
        <w:rPr>
          <w:rFonts w:ascii="Arial" w:hAnsi="Arial" w:cs="Arial"/>
        </w:rPr>
        <w:t>Assistant Director-General, Queensland Shared Services (joined in March 2018)</w:t>
      </w:r>
    </w:p>
    <w:p w:rsidR="0099149A" w:rsidRPr="00665F8D" w:rsidRDefault="0099149A" w:rsidP="00D806AE">
      <w:pPr>
        <w:pStyle w:val="ListParagraph"/>
        <w:numPr>
          <w:ilvl w:val="0"/>
          <w:numId w:val="36"/>
        </w:numPr>
        <w:rPr>
          <w:rFonts w:ascii="Arial" w:hAnsi="Arial" w:cs="Arial"/>
        </w:rPr>
      </w:pPr>
      <w:r w:rsidRPr="00665F8D">
        <w:rPr>
          <w:rFonts w:ascii="Arial" w:hAnsi="Arial" w:cs="Arial"/>
        </w:rPr>
        <w:t>General Manager, Strategy, Policy and Programs, Housing and Homelessness Services</w:t>
      </w:r>
    </w:p>
    <w:p w:rsidR="0099149A" w:rsidRPr="00665F8D" w:rsidRDefault="0099149A" w:rsidP="00D806AE">
      <w:pPr>
        <w:pStyle w:val="ListParagraph"/>
        <w:numPr>
          <w:ilvl w:val="0"/>
          <w:numId w:val="36"/>
        </w:numPr>
        <w:rPr>
          <w:rFonts w:ascii="Arial" w:hAnsi="Arial" w:cs="Arial"/>
        </w:rPr>
      </w:pPr>
      <w:r w:rsidRPr="00665F8D">
        <w:rPr>
          <w:rFonts w:ascii="Arial" w:hAnsi="Arial" w:cs="Arial"/>
        </w:rPr>
        <w:t>Executive Director, Government Employee Housing, Public Works and Asset Management</w:t>
      </w:r>
    </w:p>
    <w:p w:rsidR="0099149A" w:rsidRPr="00C96F1A" w:rsidRDefault="0099149A" w:rsidP="0099149A">
      <w:pPr>
        <w:rPr>
          <w:rFonts w:ascii="Arial" w:hAnsi="Arial" w:cs="Arial"/>
        </w:rPr>
      </w:pPr>
      <w:r w:rsidRPr="00665F8D">
        <w:rPr>
          <w:rFonts w:ascii="Arial" w:hAnsi="Arial" w:cs="Arial"/>
          <w:b/>
        </w:rPr>
        <w:t>External member:</w:t>
      </w:r>
      <w:r>
        <w:rPr>
          <w:rFonts w:ascii="Arial" w:hAnsi="Arial" w:cs="Arial"/>
          <w:b/>
        </w:rPr>
        <w:t xml:space="preserve">  </w:t>
      </w:r>
      <w:r w:rsidRPr="00C96F1A">
        <w:rPr>
          <w:rFonts w:ascii="Arial" w:hAnsi="Arial" w:cs="Arial"/>
        </w:rPr>
        <w:t>Neil Jackson</w:t>
      </w:r>
      <w:r>
        <w:rPr>
          <w:rFonts w:ascii="Arial" w:hAnsi="Arial" w:cs="Arial"/>
        </w:rPr>
        <w:t>,</w:t>
      </w:r>
      <w:r w:rsidRPr="00C96F1A">
        <w:rPr>
          <w:rFonts w:ascii="Arial" w:hAnsi="Arial" w:cs="Arial"/>
        </w:rPr>
        <w:t xml:space="preserve"> FCPA</w:t>
      </w:r>
    </w:p>
    <w:p w:rsidR="0006740F" w:rsidRPr="00C96F1A" w:rsidRDefault="0006740F" w:rsidP="0006740F">
      <w:pPr>
        <w:rPr>
          <w:rFonts w:ascii="Arial" w:hAnsi="Arial" w:cs="Arial"/>
        </w:rPr>
      </w:pPr>
      <w:r w:rsidRPr="00C96F1A">
        <w:rPr>
          <w:rFonts w:ascii="Arial" w:hAnsi="Arial" w:cs="Arial"/>
        </w:rPr>
        <w:t>In 2017–18, the Audit and Risk Committee:</w:t>
      </w:r>
    </w:p>
    <w:p w:rsidR="0006740F" w:rsidRPr="00665F8D" w:rsidRDefault="0006740F" w:rsidP="0006740F">
      <w:pPr>
        <w:pStyle w:val="ListParagraph"/>
        <w:numPr>
          <w:ilvl w:val="0"/>
          <w:numId w:val="36"/>
        </w:numPr>
        <w:rPr>
          <w:rFonts w:ascii="Arial" w:hAnsi="Arial" w:cs="Arial"/>
        </w:rPr>
      </w:pPr>
      <w:r w:rsidRPr="00665F8D">
        <w:rPr>
          <w:rFonts w:ascii="Arial" w:hAnsi="Arial" w:cs="Arial"/>
        </w:rPr>
        <w:t>considered and endorsed the department’s 2016–17 financial statements</w:t>
      </w:r>
    </w:p>
    <w:p w:rsidR="0006740F" w:rsidRPr="00665F8D" w:rsidRDefault="0006740F" w:rsidP="0006740F">
      <w:pPr>
        <w:pStyle w:val="ListParagraph"/>
        <w:numPr>
          <w:ilvl w:val="0"/>
          <w:numId w:val="36"/>
        </w:numPr>
        <w:rPr>
          <w:rFonts w:ascii="Arial" w:hAnsi="Arial" w:cs="Arial"/>
        </w:rPr>
      </w:pPr>
      <w:r w:rsidRPr="00665F8D">
        <w:rPr>
          <w:rFonts w:ascii="Arial" w:hAnsi="Arial" w:cs="Arial"/>
        </w:rPr>
        <w:t>considered the client strategy, plan and fees proposed by the Queensland Audit Office</w:t>
      </w:r>
    </w:p>
    <w:p w:rsidR="0006740F" w:rsidRPr="00665F8D" w:rsidRDefault="0006740F" w:rsidP="0006740F">
      <w:pPr>
        <w:pStyle w:val="ListParagraph"/>
        <w:numPr>
          <w:ilvl w:val="0"/>
          <w:numId w:val="36"/>
        </w:numPr>
        <w:rPr>
          <w:rFonts w:ascii="Arial" w:hAnsi="Arial" w:cs="Arial"/>
        </w:rPr>
      </w:pPr>
      <w:r w:rsidRPr="00665F8D">
        <w:rPr>
          <w:rFonts w:ascii="Arial" w:hAnsi="Arial" w:cs="Arial"/>
        </w:rPr>
        <w:t>considered Queensland Audit Office reports and associated recommendations</w:t>
      </w:r>
    </w:p>
    <w:p w:rsidR="0006740F" w:rsidRPr="00C96F1A" w:rsidRDefault="0006740F" w:rsidP="0006740F">
      <w:pPr>
        <w:pStyle w:val="ListParagraph"/>
        <w:numPr>
          <w:ilvl w:val="0"/>
          <w:numId w:val="36"/>
        </w:numPr>
        <w:rPr>
          <w:rFonts w:ascii="Arial" w:hAnsi="Arial" w:cs="Arial"/>
        </w:rPr>
      </w:pPr>
      <w:r w:rsidRPr="00C96F1A">
        <w:rPr>
          <w:rFonts w:ascii="Arial" w:hAnsi="Arial" w:cs="Arial"/>
        </w:rPr>
        <w:t>considered internal audit reports and recommendations</w:t>
      </w:r>
    </w:p>
    <w:p w:rsidR="0006740F" w:rsidRPr="00C96F1A" w:rsidRDefault="0006740F" w:rsidP="0006740F">
      <w:pPr>
        <w:pStyle w:val="ListParagraph"/>
        <w:numPr>
          <w:ilvl w:val="0"/>
          <w:numId w:val="36"/>
        </w:numPr>
        <w:rPr>
          <w:rFonts w:ascii="Arial" w:hAnsi="Arial" w:cs="Arial"/>
        </w:rPr>
      </w:pPr>
      <w:r w:rsidRPr="00C96F1A">
        <w:rPr>
          <w:rFonts w:ascii="Arial" w:hAnsi="Arial" w:cs="Arial"/>
        </w:rPr>
        <w:t>endorsed the internal audit charter as well as the strategic and annual internal audit plan</w:t>
      </w:r>
    </w:p>
    <w:p w:rsidR="0006740F" w:rsidRPr="00665F8D" w:rsidRDefault="0006740F" w:rsidP="0006740F">
      <w:pPr>
        <w:pStyle w:val="ListParagraph"/>
        <w:numPr>
          <w:ilvl w:val="0"/>
          <w:numId w:val="36"/>
        </w:numPr>
        <w:rPr>
          <w:rFonts w:ascii="Arial" w:hAnsi="Arial" w:cs="Arial"/>
        </w:rPr>
      </w:pPr>
      <w:r w:rsidRPr="00665F8D">
        <w:rPr>
          <w:rFonts w:ascii="Arial" w:hAnsi="Arial" w:cs="Arial"/>
        </w:rPr>
        <w:t>considered the updates on financial management and risk management</w:t>
      </w:r>
    </w:p>
    <w:p w:rsidR="0006740F" w:rsidRPr="00C96F1A" w:rsidRDefault="0006740F" w:rsidP="0006740F">
      <w:pPr>
        <w:pStyle w:val="ListParagraph"/>
        <w:numPr>
          <w:ilvl w:val="0"/>
          <w:numId w:val="36"/>
        </w:numPr>
        <w:rPr>
          <w:rFonts w:ascii="Arial" w:hAnsi="Arial" w:cs="Arial"/>
        </w:rPr>
      </w:pPr>
      <w:r w:rsidRPr="00C96F1A">
        <w:rPr>
          <w:rFonts w:ascii="Arial" w:hAnsi="Arial" w:cs="Arial"/>
        </w:rPr>
        <w:t>endorsed the committee’s charter and workplan</w:t>
      </w:r>
    </w:p>
    <w:p w:rsidR="0006740F" w:rsidRPr="00C96F1A" w:rsidRDefault="0006740F" w:rsidP="0006740F">
      <w:pPr>
        <w:pStyle w:val="ListParagraph"/>
        <w:numPr>
          <w:ilvl w:val="0"/>
          <w:numId w:val="36"/>
        </w:numPr>
        <w:rPr>
          <w:rFonts w:ascii="Arial" w:hAnsi="Arial" w:cs="Arial"/>
        </w:rPr>
      </w:pPr>
      <w:r w:rsidRPr="00C96F1A">
        <w:rPr>
          <w:rFonts w:ascii="Arial" w:hAnsi="Arial" w:cs="Arial"/>
        </w:rPr>
        <w:t>updated the Director-General on relevant matters, opinions, decisions and recommendations made by the committee</w:t>
      </w:r>
    </w:p>
    <w:p w:rsidR="0006740F" w:rsidRPr="00C96F1A" w:rsidRDefault="0006740F" w:rsidP="0006740F">
      <w:pPr>
        <w:pStyle w:val="ListParagraph"/>
        <w:numPr>
          <w:ilvl w:val="0"/>
          <w:numId w:val="36"/>
        </w:numPr>
        <w:rPr>
          <w:rFonts w:ascii="Arial" w:hAnsi="Arial" w:cs="Arial"/>
        </w:rPr>
      </w:pPr>
      <w:r w:rsidRPr="00C96F1A">
        <w:rPr>
          <w:rFonts w:ascii="Arial" w:hAnsi="Arial" w:cs="Arial"/>
        </w:rPr>
        <w:t>assessed the effectiveness of the internal audit function</w:t>
      </w:r>
    </w:p>
    <w:p w:rsidR="0006740F" w:rsidRPr="00C96F1A" w:rsidRDefault="0006740F" w:rsidP="0006740F">
      <w:pPr>
        <w:pStyle w:val="ListParagraph"/>
        <w:numPr>
          <w:ilvl w:val="0"/>
          <w:numId w:val="36"/>
        </w:numPr>
        <w:rPr>
          <w:rFonts w:ascii="Arial" w:hAnsi="Arial" w:cs="Arial"/>
        </w:rPr>
      </w:pPr>
      <w:r w:rsidRPr="00C96F1A">
        <w:rPr>
          <w:rFonts w:ascii="Arial" w:hAnsi="Arial" w:cs="Arial"/>
        </w:rPr>
        <w:lastRenderedPageBreak/>
        <w:t>performed a self-assessment on the effectiveness of the committee</w:t>
      </w:r>
    </w:p>
    <w:p w:rsidR="0006740F" w:rsidRPr="00C96F1A" w:rsidRDefault="0006740F" w:rsidP="0006740F">
      <w:pPr>
        <w:pStyle w:val="ListParagraph"/>
        <w:numPr>
          <w:ilvl w:val="0"/>
          <w:numId w:val="36"/>
        </w:numPr>
        <w:rPr>
          <w:rFonts w:ascii="Arial" w:hAnsi="Arial" w:cs="Arial"/>
        </w:rPr>
      </w:pPr>
      <w:r w:rsidRPr="00C96F1A">
        <w:rPr>
          <w:rFonts w:ascii="Arial" w:hAnsi="Arial" w:cs="Arial"/>
        </w:rPr>
        <w:t>approved the closure of internal and external audit recommendations.</w:t>
      </w:r>
    </w:p>
    <w:p w:rsidR="0006740F" w:rsidRPr="00C96F1A" w:rsidRDefault="0006740F" w:rsidP="0006740F">
      <w:pPr>
        <w:rPr>
          <w:rFonts w:ascii="Arial" w:hAnsi="Arial" w:cs="Arial"/>
        </w:rPr>
      </w:pPr>
      <w:r w:rsidRPr="00C96F1A">
        <w:rPr>
          <w:rFonts w:ascii="Arial" w:hAnsi="Arial" w:cs="Arial"/>
        </w:rPr>
        <w:t>The Audit and Risk Committee met on five occasions during</w:t>
      </w:r>
      <w:r>
        <w:rPr>
          <w:rFonts w:ascii="Arial" w:hAnsi="Arial" w:cs="Arial"/>
        </w:rPr>
        <w:t xml:space="preserve"> </w:t>
      </w:r>
      <w:r w:rsidRPr="00C96F1A">
        <w:rPr>
          <w:rFonts w:ascii="Arial" w:hAnsi="Arial" w:cs="Arial"/>
        </w:rPr>
        <w:t>2017–18.</w:t>
      </w:r>
    </w:p>
    <w:p w:rsidR="0006740F" w:rsidRDefault="0006740F" w:rsidP="0006740F">
      <w:pPr>
        <w:rPr>
          <w:rFonts w:ascii="Arial" w:hAnsi="Arial" w:cs="Arial"/>
        </w:rPr>
      </w:pPr>
      <w:r w:rsidRPr="00C96F1A">
        <w:rPr>
          <w:rFonts w:ascii="Arial" w:hAnsi="Arial" w:cs="Arial"/>
        </w:rPr>
        <w:t>Remuneration was paid to the two external members, Eric Muir ($10,980) and Neil Jackson ($9,948).</w:t>
      </w:r>
    </w:p>
    <w:p w:rsidR="0099149A" w:rsidRPr="00665F8D" w:rsidRDefault="0099149A" w:rsidP="0099149A">
      <w:pPr>
        <w:pStyle w:val="Heading4"/>
      </w:pPr>
      <w:r w:rsidRPr="00665F8D">
        <w:t>Information Steering Committee</w:t>
      </w:r>
    </w:p>
    <w:p w:rsidR="0099149A" w:rsidRPr="00C96F1A" w:rsidRDefault="0099149A" w:rsidP="0099149A">
      <w:pPr>
        <w:rPr>
          <w:rFonts w:ascii="Arial" w:hAnsi="Arial" w:cs="Arial"/>
        </w:rPr>
      </w:pPr>
      <w:r w:rsidRPr="00C96F1A">
        <w:rPr>
          <w:rFonts w:ascii="Arial" w:hAnsi="Arial" w:cs="Arial"/>
        </w:rPr>
        <w:t xml:space="preserve">The Information Steering Committee ensures that information, </w:t>
      </w:r>
      <w:r>
        <w:rPr>
          <w:rFonts w:ascii="Arial" w:hAnsi="Arial" w:cs="Arial"/>
        </w:rPr>
        <w:t xml:space="preserve">and </w:t>
      </w:r>
      <w:r w:rsidRPr="00C96F1A">
        <w:rPr>
          <w:rFonts w:ascii="Arial" w:hAnsi="Arial" w:cs="Arial"/>
        </w:rPr>
        <w:t>communication technology (ICT) services and capabilities employed by the department (through the Information Services Directorate) support the efficient operation of the department’s business areas while aligning to the department’s strategic objectives and the government’s priorities and whole-of- government ICT strategies and objectives.</w:t>
      </w:r>
    </w:p>
    <w:p w:rsidR="0099149A" w:rsidRPr="00C96F1A" w:rsidRDefault="0099149A" w:rsidP="0099149A">
      <w:pPr>
        <w:rPr>
          <w:rFonts w:ascii="Arial" w:hAnsi="Arial" w:cs="Arial"/>
        </w:rPr>
      </w:pPr>
      <w:r w:rsidRPr="00665F8D">
        <w:rPr>
          <w:rFonts w:ascii="Arial" w:hAnsi="Arial" w:cs="Arial"/>
          <w:b/>
        </w:rPr>
        <w:t>Chair:</w:t>
      </w:r>
      <w:r w:rsidRPr="00C96F1A">
        <w:rPr>
          <w:rFonts w:ascii="Arial" w:hAnsi="Arial" w:cs="Arial"/>
        </w:rPr>
        <w:t xml:space="preserve"> Assistant Director-General, Corporate Services</w:t>
      </w:r>
    </w:p>
    <w:p w:rsidR="0099149A" w:rsidRPr="00665F8D" w:rsidRDefault="0099149A" w:rsidP="0099149A">
      <w:pPr>
        <w:rPr>
          <w:rFonts w:ascii="Arial" w:hAnsi="Arial" w:cs="Arial"/>
          <w:b/>
        </w:rPr>
      </w:pPr>
      <w:r w:rsidRPr="00665F8D">
        <w:rPr>
          <w:rFonts w:ascii="Arial" w:hAnsi="Arial" w:cs="Arial"/>
          <w:b/>
        </w:rPr>
        <w:t>Members:</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Deputy Director-General, Housing and Homelessness Services</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Deputy Director-General, Public Works and Asset Management</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Deputy Director-General, Sport and Recreation Services</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Assistant Director-General, Building Industry and Policy</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Assistant Director-General and Chief Advisor, Queensland Government Procurement</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Assistant Director-General, Queensland Shared Services</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Assistant Director-General, Strategic ICT</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Assistant Director-General, Digital Capability, Information and Transaction Based Services</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Chief Information Officer, Corporate Services</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Chief Finance Officer, Corporate Services</w:t>
      </w:r>
    </w:p>
    <w:p w:rsidR="0099149A" w:rsidRPr="00665F8D" w:rsidRDefault="0099149A" w:rsidP="00D806AE">
      <w:pPr>
        <w:pStyle w:val="ListParagraph"/>
        <w:numPr>
          <w:ilvl w:val="0"/>
          <w:numId w:val="36"/>
        </w:numPr>
        <w:rPr>
          <w:rFonts w:ascii="Arial" w:hAnsi="Arial" w:cs="Arial"/>
        </w:rPr>
      </w:pPr>
      <w:r w:rsidRPr="00665F8D">
        <w:rPr>
          <w:rFonts w:ascii="Arial" w:hAnsi="Arial" w:cs="Arial"/>
        </w:rPr>
        <w:t>Queensland Government Chief Information Office</w:t>
      </w:r>
      <w:r>
        <w:rPr>
          <w:rFonts w:ascii="Arial" w:hAnsi="Arial" w:cs="Arial"/>
        </w:rPr>
        <w:t xml:space="preserve"> </w:t>
      </w:r>
      <w:r w:rsidRPr="00665F8D">
        <w:rPr>
          <w:rFonts w:ascii="Arial" w:hAnsi="Arial" w:cs="Arial"/>
        </w:rPr>
        <w:t>representative</w:t>
      </w:r>
    </w:p>
    <w:p w:rsidR="0099149A" w:rsidRPr="00C96F1A" w:rsidRDefault="0099149A" w:rsidP="0099149A">
      <w:pPr>
        <w:rPr>
          <w:rFonts w:ascii="Arial" w:hAnsi="Arial" w:cs="Arial"/>
        </w:rPr>
      </w:pPr>
      <w:r w:rsidRPr="00665F8D">
        <w:rPr>
          <w:rFonts w:ascii="Arial" w:hAnsi="Arial" w:cs="Arial"/>
          <w:b/>
        </w:rPr>
        <w:t>Observer:</w:t>
      </w:r>
      <w:r>
        <w:rPr>
          <w:rFonts w:ascii="Arial" w:hAnsi="Arial" w:cs="Arial"/>
          <w:b/>
        </w:rPr>
        <w:t xml:space="preserve">  </w:t>
      </w:r>
      <w:r w:rsidRPr="00C96F1A">
        <w:rPr>
          <w:rFonts w:ascii="Arial" w:hAnsi="Arial" w:cs="Arial"/>
        </w:rPr>
        <w:t>Director, Internal Audit</w:t>
      </w:r>
    </w:p>
    <w:p w:rsidR="0099149A" w:rsidRPr="00C96F1A" w:rsidRDefault="0099149A" w:rsidP="0099149A">
      <w:pPr>
        <w:rPr>
          <w:rFonts w:ascii="Arial" w:hAnsi="Arial" w:cs="Arial"/>
        </w:rPr>
      </w:pPr>
      <w:r w:rsidRPr="00665F8D">
        <w:rPr>
          <w:rFonts w:ascii="Arial" w:hAnsi="Arial" w:cs="Arial"/>
          <w:b/>
        </w:rPr>
        <w:t>External Member:</w:t>
      </w:r>
      <w:r>
        <w:rPr>
          <w:rFonts w:ascii="Arial" w:hAnsi="Arial" w:cs="Arial"/>
          <w:b/>
        </w:rPr>
        <w:t xml:space="preserve"> </w:t>
      </w:r>
      <w:r w:rsidRPr="00C96F1A">
        <w:rPr>
          <w:rFonts w:ascii="Arial" w:hAnsi="Arial" w:cs="Arial"/>
        </w:rPr>
        <w:t>Nerida Budd, Gartner</w:t>
      </w:r>
    </w:p>
    <w:p w:rsidR="0099149A" w:rsidRPr="00C96F1A" w:rsidRDefault="0099149A" w:rsidP="0099149A">
      <w:pPr>
        <w:rPr>
          <w:rFonts w:ascii="Arial" w:hAnsi="Arial" w:cs="Arial"/>
        </w:rPr>
      </w:pPr>
      <w:r w:rsidRPr="00C96F1A">
        <w:rPr>
          <w:rFonts w:ascii="Arial" w:hAnsi="Arial" w:cs="Arial"/>
        </w:rPr>
        <w:t>In 2017–18, the Information Steering Committee:</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monitored progress, issues and risks for ICT projects for the department</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noted and assisted in the progress of the application portfolio management project, fleet management system replacement project and the car sharing model and implementation project</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noted the update on Information Standard 18 (IS18) information security report and the proposed establishment of the Information Security Management System</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endorsed in principle the eDRMS functionality rollout project</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endorsed the HPW ICT Dashboard and the ICT Strategic Plan 2017–2021</w:t>
      </w:r>
    </w:p>
    <w:p w:rsidR="0099149A" w:rsidRDefault="0099149A" w:rsidP="00D806AE">
      <w:pPr>
        <w:pStyle w:val="ListParagraph"/>
        <w:numPr>
          <w:ilvl w:val="0"/>
          <w:numId w:val="36"/>
        </w:numPr>
        <w:rPr>
          <w:rFonts w:ascii="Arial" w:hAnsi="Arial" w:cs="Arial"/>
        </w:rPr>
      </w:pPr>
      <w:r w:rsidRPr="00C96F1A">
        <w:rPr>
          <w:rFonts w:ascii="Arial" w:hAnsi="Arial" w:cs="Arial"/>
        </w:rPr>
        <w:t>noted the HPW key systems roadmap.</w:t>
      </w:r>
    </w:p>
    <w:p w:rsidR="0099149A" w:rsidRPr="00665F8D" w:rsidRDefault="0099149A" w:rsidP="0099149A">
      <w:pPr>
        <w:pStyle w:val="Heading4"/>
      </w:pPr>
      <w:r w:rsidRPr="00665F8D">
        <w:lastRenderedPageBreak/>
        <w:t>People and Culture Committee</w:t>
      </w:r>
    </w:p>
    <w:p w:rsidR="0099149A" w:rsidRPr="00C96F1A" w:rsidRDefault="0099149A" w:rsidP="0099149A">
      <w:pPr>
        <w:rPr>
          <w:rFonts w:ascii="Arial" w:hAnsi="Arial" w:cs="Arial"/>
        </w:rPr>
      </w:pPr>
      <w:r w:rsidRPr="00C96F1A">
        <w:rPr>
          <w:rFonts w:ascii="Arial" w:hAnsi="Arial" w:cs="Arial"/>
        </w:rPr>
        <w:t>The People and Culture Committee supports the Director-General and the Executive Leadership Team in ensuring a strategic focus is maintained in relation to people and culture that is aligned with corporate direction. The focus of the committee is to:</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guide the development, implementation and ongoing review of best practice people and culture strategies and programs</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provide leadership in the renewal of the department’s organisational culture</w:t>
      </w:r>
    </w:p>
    <w:p w:rsidR="0099149A" w:rsidRPr="0006740F" w:rsidRDefault="0099149A" w:rsidP="006F2791">
      <w:pPr>
        <w:pStyle w:val="ListParagraph"/>
        <w:numPr>
          <w:ilvl w:val="0"/>
          <w:numId w:val="36"/>
        </w:numPr>
        <w:rPr>
          <w:rFonts w:ascii="Arial" w:hAnsi="Arial" w:cs="Arial"/>
        </w:rPr>
      </w:pPr>
      <w:r w:rsidRPr="0006740F">
        <w:rPr>
          <w:rFonts w:ascii="Arial" w:hAnsi="Arial" w:cs="Arial"/>
        </w:rPr>
        <w:t>build workplaces that reflect the public service and the</w:t>
      </w:r>
      <w:r w:rsidR="0006740F" w:rsidRPr="0006740F">
        <w:rPr>
          <w:rFonts w:ascii="Arial" w:hAnsi="Arial" w:cs="Arial"/>
        </w:rPr>
        <w:t xml:space="preserve"> </w:t>
      </w:r>
      <w:r w:rsidRPr="0006740F">
        <w:rPr>
          <w:rFonts w:ascii="Arial" w:hAnsi="Arial" w:cs="Arial"/>
        </w:rPr>
        <w:t>department’s values.</w:t>
      </w:r>
    </w:p>
    <w:p w:rsidR="0099149A" w:rsidRPr="00C96F1A" w:rsidRDefault="0099149A" w:rsidP="0099149A">
      <w:pPr>
        <w:rPr>
          <w:rFonts w:ascii="Arial" w:hAnsi="Arial" w:cs="Arial"/>
        </w:rPr>
      </w:pPr>
      <w:r w:rsidRPr="00665F8D">
        <w:rPr>
          <w:rFonts w:ascii="Arial" w:hAnsi="Arial" w:cs="Arial"/>
          <w:b/>
        </w:rPr>
        <w:t>Chair:</w:t>
      </w:r>
      <w:r w:rsidRPr="00C96F1A">
        <w:rPr>
          <w:rFonts w:ascii="Arial" w:hAnsi="Arial" w:cs="Arial"/>
        </w:rPr>
        <w:t xml:space="preserve"> Executive Director, Human Resources</w:t>
      </w:r>
    </w:p>
    <w:p w:rsidR="0099149A" w:rsidRPr="00665F8D" w:rsidRDefault="0099149A" w:rsidP="0099149A">
      <w:pPr>
        <w:rPr>
          <w:rFonts w:ascii="Arial" w:hAnsi="Arial" w:cs="Arial"/>
          <w:b/>
        </w:rPr>
      </w:pPr>
      <w:r w:rsidRPr="00665F8D">
        <w:rPr>
          <w:rFonts w:ascii="Arial" w:hAnsi="Arial" w:cs="Arial"/>
          <w:b/>
        </w:rPr>
        <w:t>Members:</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Executive Director, Central and South West Queensland Operations, Building and Asset Services, Public Works and Asset Management</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Executive Director, Customer Relationships and Program Management, Building and Asset Services, Public Works and Asset Management</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Director, Business Management, Government Employee Housing, Public Works and Asset Management</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Executive Director, Service Delivery, Housing and Homelessness Services</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Manager, Building Industry and Policy</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General Manager, QFleet, Queensland Government Procurement</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Manager, Workforce Capability, Human Resources, Corporate Services</w:t>
      </w:r>
    </w:p>
    <w:p w:rsidR="0099149A" w:rsidRPr="00C96F1A" w:rsidRDefault="0099149A" w:rsidP="0099149A">
      <w:pPr>
        <w:rPr>
          <w:rFonts w:ascii="Arial" w:hAnsi="Arial" w:cs="Arial"/>
        </w:rPr>
      </w:pPr>
      <w:r w:rsidRPr="00C96F1A">
        <w:rPr>
          <w:rFonts w:ascii="Arial" w:hAnsi="Arial" w:cs="Arial"/>
        </w:rPr>
        <w:t>During 2017–18, our department, through its People and Culture</w:t>
      </w:r>
      <w:r>
        <w:rPr>
          <w:rFonts w:ascii="Arial" w:hAnsi="Arial" w:cs="Arial"/>
        </w:rPr>
        <w:t xml:space="preserve"> </w:t>
      </w:r>
      <w:r w:rsidRPr="00C96F1A">
        <w:rPr>
          <w:rFonts w:ascii="Arial" w:hAnsi="Arial" w:cs="Arial"/>
        </w:rPr>
        <w:t>Committee:</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 xml:space="preserve">updated and continued the delivery of the </w:t>
      </w:r>
      <w:r w:rsidRPr="0006740F">
        <w:rPr>
          <w:rFonts w:ascii="Arial" w:hAnsi="Arial" w:cs="Arial"/>
          <w:i/>
        </w:rPr>
        <w:t>People and Culture Strategy</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achieved an overall average improvement in positive scores of about 2.2% since 2016 – more specifically we have achieved significant improvements in organisational leadership (+5%), learning and development (+4%) and agency engagement (+3%)</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continued its participation in graduate programs, recruiting nine graduates as part of a two-year HPW Graduate Program, three graduates as part of the Policy Futures Graduate Program and one graduate as part of the IT Graduate Program</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 xml:space="preserve">continued to offer a range of centralised capability programs, aligned to </w:t>
      </w:r>
      <w:r w:rsidRPr="00D97B08">
        <w:rPr>
          <w:rFonts w:ascii="Arial" w:hAnsi="Arial" w:cs="Arial"/>
        </w:rPr>
        <w:t>the</w:t>
      </w:r>
      <w:r w:rsidRPr="0099149A">
        <w:rPr>
          <w:rFonts w:ascii="Arial" w:hAnsi="Arial" w:cs="Arial"/>
          <w:i/>
        </w:rPr>
        <w:t xml:space="preserve"> Leadership at all Levels Framework</w:t>
      </w:r>
      <w:r w:rsidRPr="00C96F1A">
        <w:rPr>
          <w:rFonts w:ascii="Arial" w:hAnsi="Arial" w:cs="Arial"/>
        </w:rPr>
        <w:t xml:space="preserve"> and </w:t>
      </w:r>
      <w:r w:rsidRPr="0099149A">
        <w:rPr>
          <w:rFonts w:ascii="Arial" w:hAnsi="Arial" w:cs="Arial"/>
          <w:i/>
        </w:rPr>
        <w:t>Performance Excellence Framework</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went live with our learning and talent management system, MyCareerHub, with four mandatory and three optional online modules – intended both as a hosting platform for online learning, as well as a system to manage, simplify and automate much of the end-to-end administrative components of face-to-face training</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held the 18th annual Recognition of Excellence Awards</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delivered initiatives to enhance capability and provide a healthy and safe work environment</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promoted and participated in the White Ribbon Accreditation process.</w:t>
      </w:r>
    </w:p>
    <w:p w:rsidR="005D7744" w:rsidRDefault="005D7744">
      <w:pPr>
        <w:spacing w:before="0" w:after="0"/>
        <w:rPr>
          <w:rFonts w:cstheme="majorBidi"/>
          <w:b/>
          <w:bCs/>
          <w:sz w:val="28"/>
          <w:szCs w:val="28"/>
        </w:rPr>
      </w:pPr>
      <w:r>
        <w:br w:type="page"/>
      </w:r>
    </w:p>
    <w:p w:rsidR="0099149A" w:rsidRPr="00665F8D" w:rsidRDefault="0099149A" w:rsidP="0099149A">
      <w:pPr>
        <w:pStyle w:val="Heading4"/>
      </w:pPr>
      <w:r w:rsidRPr="00665F8D">
        <w:lastRenderedPageBreak/>
        <w:t>Workplace Health and Safety Peak Committee</w:t>
      </w:r>
    </w:p>
    <w:p w:rsidR="0099149A" w:rsidRPr="00C96F1A" w:rsidRDefault="0099149A" w:rsidP="0099149A">
      <w:pPr>
        <w:rPr>
          <w:rFonts w:ascii="Arial" w:hAnsi="Arial" w:cs="Arial"/>
        </w:rPr>
      </w:pPr>
      <w:r w:rsidRPr="00C96F1A">
        <w:rPr>
          <w:rFonts w:ascii="Arial" w:hAnsi="Arial" w:cs="Arial"/>
        </w:rPr>
        <w:t>The Workplace Health and Safety Peak Committee is responsible for providing effective leadership and strategic direction in relation to the operation of our department’s workplace health and safety management systems.</w:t>
      </w:r>
    </w:p>
    <w:p w:rsidR="0099149A" w:rsidRPr="00C96F1A" w:rsidRDefault="0099149A" w:rsidP="0099149A">
      <w:pPr>
        <w:rPr>
          <w:rFonts w:ascii="Arial" w:hAnsi="Arial" w:cs="Arial"/>
        </w:rPr>
      </w:pPr>
      <w:r w:rsidRPr="00665F8D">
        <w:rPr>
          <w:rFonts w:ascii="Arial" w:hAnsi="Arial" w:cs="Arial"/>
          <w:b/>
        </w:rPr>
        <w:t>Chair:</w:t>
      </w:r>
      <w:r w:rsidRPr="00C96F1A">
        <w:rPr>
          <w:rFonts w:ascii="Arial" w:hAnsi="Arial" w:cs="Arial"/>
        </w:rPr>
        <w:t xml:space="preserve"> Director-General</w:t>
      </w:r>
    </w:p>
    <w:p w:rsidR="0099149A" w:rsidRPr="00665F8D" w:rsidRDefault="0099149A" w:rsidP="0099149A">
      <w:pPr>
        <w:rPr>
          <w:rFonts w:ascii="Arial" w:hAnsi="Arial" w:cs="Arial"/>
          <w:b/>
        </w:rPr>
      </w:pPr>
      <w:r w:rsidRPr="00665F8D">
        <w:rPr>
          <w:rFonts w:ascii="Arial" w:hAnsi="Arial" w:cs="Arial"/>
          <w:b/>
        </w:rPr>
        <w:t>Members:</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Deputy Director-General, Housing and Homelessness Services</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Deputy Director-General, Public Works and Asset Management</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Deputy Director-General, Sport and Recreation Services</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Assistant Director-General, Building Industry and Policy</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Assistant Director-General and Chief Advisor, Queensland Government Procurement</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Assistant Director-General, Corporate Services</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Assistant Director-General, Digital Capability, Information and Transaction Based Services</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Assistant Director-General, Queensland Shared Services</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Assistant Director-General, Strategic ICT</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Executive Director, Human Resources, Corporate Services</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Area Manager, Service Delivery, Housing and Homelessness</w:t>
      </w:r>
      <w:r>
        <w:rPr>
          <w:rFonts w:ascii="Arial" w:hAnsi="Arial" w:cs="Arial"/>
        </w:rPr>
        <w:t xml:space="preserve"> </w:t>
      </w:r>
      <w:r w:rsidRPr="00C96F1A">
        <w:rPr>
          <w:rFonts w:ascii="Arial" w:hAnsi="Arial" w:cs="Arial"/>
        </w:rPr>
        <w:t>Services</w:t>
      </w:r>
    </w:p>
    <w:p w:rsidR="0099149A" w:rsidRDefault="0099149A" w:rsidP="0099149A">
      <w:pPr>
        <w:rPr>
          <w:rFonts w:ascii="Arial" w:hAnsi="Arial" w:cs="Arial"/>
        </w:rPr>
      </w:pPr>
      <w:r w:rsidRPr="00C96F1A">
        <w:rPr>
          <w:rFonts w:ascii="Arial" w:hAnsi="Arial" w:cs="Arial"/>
        </w:rPr>
        <w:t>During 2017–18, our department, through its Workplace Health</w:t>
      </w:r>
      <w:r>
        <w:rPr>
          <w:rFonts w:ascii="Arial" w:hAnsi="Arial" w:cs="Arial"/>
        </w:rPr>
        <w:t xml:space="preserve"> </w:t>
      </w:r>
      <w:r w:rsidRPr="00C96F1A">
        <w:rPr>
          <w:rFonts w:ascii="Arial" w:hAnsi="Arial" w:cs="Arial"/>
        </w:rPr>
        <w:t>and Safety Peak Committee, endorsed the:</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 xml:space="preserve">implementation of the </w:t>
      </w:r>
      <w:r w:rsidRPr="0006740F">
        <w:rPr>
          <w:rFonts w:ascii="Arial" w:hAnsi="Arial" w:cs="Arial"/>
          <w:i/>
        </w:rPr>
        <w:t>Healthy and Safe Workforce Action Plan 2018–20</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ongoing commitment to obtaining White Ribbon Accreditation, which is an integral component to providing support to our staff affected by domestic and family violence</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ongoing delivery of our Pathways Health and Wellbeing Program that supports staff to improve their overall health</w:t>
      </w:r>
    </w:p>
    <w:p w:rsidR="0099149A" w:rsidRPr="00DC0446" w:rsidRDefault="0099149A" w:rsidP="00D806AE">
      <w:pPr>
        <w:pStyle w:val="ListParagraph"/>
        <w:numPr>
          <w:ilvl w:val="0"/>
          <w:numId w:val="36"/>
        </w:numPr>
        <w:rPr>
          <w:rFonts w:ascii="Arial" w:hAnsi="Arial" w:cs="Arial"/>
        </w:rPr>
      </w:pPr>
      <w:r w:rsidRPr="00DC0446">
        <w:rPr>
          <w:rFonts w:ascii="Arial" w:hAnsi="Arial" w:cs="Arial"/>
        </w:rPr>
        <w:t>procurement and installation of Automated External Defibrillators in all workplaces</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establishment of the Workplace Health and Safety Sub- Committee</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external review of our workplace health and safety management system</w:t>
      </w:r>
    </w:p>
    <w:p w:rsidR="0099149A" w:rsidRPr="00C96F1A" w:rsidRDefault="0099149A" w:rsidP="00D806AE">
      <w:pPr>
        <w:pStyle w:val="ListParagraph"/>
        <w:numPr>
          <w:ilvl w:val="0"/>
          <w:numId w:val="36"/>
        </w:numPr>
        <w:rPr>
          <w:rFonts w:ascii="Arial" w:hAnsi="Arial" w:cs="Arial"/>
        </w:rPr>
      </w:pPr>
      <w:r w:rsidRPr="00C96F1A">
        <w:rPr>
          <w:rFonts w:ascii="Arial" w:hAnsi="Arial" w:cs="Arial"/>
        </w:rPr>
        <w:t>provision of employee and manager support services to improve our department’s case management outcomes.</w:t>
      </w:r>
    </w:p>
    <w:p w:rsidR="0099149A" w:rsidRPr="0099149A" w:rsidRDefault="0099149A" w:rsidP="0099149A">
      <w:pPr>
        <w:pStyle w:val="Heading4"/>
      </w:pPr>
      <w:r w:rsidRPr="0099149A">
        <w:t xml:space="preserve">Property Asset Management Committee </w:t>
      </w:r>
    </w:p>
    <w:p w:rsidR="0099149A" w:rsidRDefault="0099149A" w:rsidP="0099149A">
      <w:pPr>
        <w:rPr>
          <w:rFonts w:ascii="Arial" w:hAnsi="Arial" w:cs="Arial"/>
        </w:rPr>
      </w:pPr>
      <w:r w:rsidRPr="0099149A">
        <w:rPr>
          <w:rFonts w:ascii="Arial" w:hAnsi="Arial" w:cs="Arial"/>
        </w:rPr>
        <w:t>The Property Asset Management Committee:</w:t>
      </w:r>
    </w:p>
    <w:p w:rsidR="0099149A" w:rsidRPr="0099149A" w:rsidRDefault="0099149A" w:rsidP="00D806AE">
      <w:pPr>
        <w:pStyle w:val="ListParagraph"/>
        <w:numPr>
          <w:ilvl w:val="0"/>
          <w:numId w:val="36"/>
        </w:numPr>
        <w:rPr>
          <w:rFonts w:ascii="Arial" w:hAnsi="Arial" w:cs="Arial"/>
        </w:rPr>
      </w:pPr>
      <w:r w:rsidRPr="0099149A">
        <w:rPr>
          <w:rFonts w:ascii="Arial" w:hAnsi="Arial" w:cs="Arial"/>
        </w:rPr>
        <w:t>ensures the effective utilisation and management of departmental built infrastructure</w:t>
      </w:r>
    </w:p>
    <w:p w:rsidR="0099149A" w:rsidRPr="0099149A" w:rsidRDefault="0099149A" w:rsidP="00D806AE">
      <w:pPr>
        <w:pStyle w:val="ListParagraph"/>
        <w:numPr>
          <w:ilvl w:val="0"/>
          <w:numId w:val="36"/>
        </w:numPr>
        <w:rPr>
          <w:rFonts w:ascii="Arial" w:hAnsi="Arial" w:cs="Arial"/>
        </w:rPr>
      </w:pPr>
      <w:r w:rsidRPr="0099149A">
        <w:rPr>
          <w:rFonts w:ascii="Arial" w:hAnsi="Arial" w:cs="Arial"/>
        </w:rPr>
        <w:t>oversees the linkage between service planning and service delivery and between built infrastructure policy formulation and delivery</w:t>
      </w:r>
    </w:p>
    <w:p w:rsidR="0099149A" w:rsidRPr="0099149A" w:rsidRDefault="0099149A" w:rsidP="00D806AE">
      <w:pPr>
        <w:pStyle w:val="ListParagraph"/>
        <w:numPr>
          <w:ilvl w:val="0"/>
          <w:numId w:val="36"/>
        </w:numPr>
        <w:rPr>
          <w:rFonts w:ascii="Arial" w:hAnsi="Arial" w:cs="Arial"/>
        </w:rPr>
      </w:pPr>
      <w:r w:rsidRPr="0099149A">
        <w:rPr>
          <w:rFonts w:ascii="Arial" w:hAnsi="Arial" w:cs="Arial"/>
        </w:rPr>
        <w:t xml:space="preserve">oversees the development of the departmental </w:t>
      </w:r>
      <w:r w:rsidRPr="006E74E8">
        <w:rPr>
          <w:rFonts w:ascii="Arial" w:hAnsi="Arial" w:cs="Arial"/>
          <w:i/>
        </w:rPr>
        <w:t>Total Asset Management Plan</w:t>
      </w:r>
    </w:p>
    <w:p w:rsidR="0099149A" w:rsidRPr="0099149A" w:rsidRDefault="0099149A" w:rsidP="00D806AE">
      <w:pPr>
        <w:pStyle w:val="ListParagraph"/>
        <w:numPr>
          <w:ilvl w:val="0"/>
          <w:numId w:val="36"/>
        </w:numPr>
        <w:rPr>
          <w:rFonts w:ascii="Arial" w:hAnsi="Arial" w:cs="Arial"/>
        </w:rPr>
      </w:pPr>
      <w:r w:rsidRPr="0099149A">
        <w:rPr>
          <w:rFonts w:ascii="Arial" w:hAnsi="Arial" w:cs="Arial"/>
        </w:rPr>
        <w:t xml:space="preserve">monitors the department’s capital expenditure, project milestones, funding programs and reporting obligations </w:t>
      </w:r>
    </w:p>
    <w:p w:rsidR="0099149A" w:rsidRPr="0099149A" w:rsidRDefault="0099149A" w:rsidP="00D806AE">
      <w:pPr>
        <w:pStyle w:val="ListParagraph"/>
        <w:numPr>
          <w:ilvl w:val="0"/>
          <w:numId w:val="36"/>
        </w:numPr>
        <w:rPr>
          <w:rFonts w:ascii="Arial" w:hAnsi="Arial" w:cs="Arial"/>
        </w:rPr>
      </w:pPr>
      <w:r w:rsidRPr="0099149A">
        <w:rPr>
          <w:rFonts w:ascii="Arial" w:hAnsi="Arial" w:cs="Arial"/>
        </w:rPr>
        <w:t>monitors the department’s asset valuation methodologies, results and impacts of revaluation exercises and review of impairment indicators.</w:t>
      </w:r>
    </w:p>
    <w:p w:rsidR="0099149A" w:rsidRDefault="0099149A" w:rsidP="0099149A">
      <w:r w:rsidRPr="0099149A">
        <w:rPr>
          <w:b/>
        </w:rPr>
        <w:lastRenderedPageBreak/>
        <w:t>Chair:</w:t>
      </w:r>
      <w:r>
        <w:t xml:space="preserve"> Deputy Director-General, Public Works and Asset Management</w:t>
      </w:r>
    </w:p>
    <w:p w:rsidR="0099149A" w:rsidRPr="0099149A" w:rsidRDefault="0099149A" w:rsidP="0099149A">
      <w:pPr>
        <w:rPr>
          <w:b/>
        </w:rPr>
      </w:pPr>
      <w:r w:rsidRPr="0099149A">
        <w:rPr>
          <w:b/>
        </w:rPr>
        <w:t>Members:</w:t>
      </w:r>
    </w:p>
    <w:p w:rsidR="0099149A" w:rsidRPr="0099149A" w:rsidRDefault="0099149A" w:rsidP="00D806AE">
      <w:pPr>
        <w:pStyle w:val="ListParagraph"/>
        <w:numPr>
          <w:ilvl w:val="0"/>
          <w:numId w:val="36"/>
        </w:numPr>
        <w:rPr>
          <w:rFonts w:ascii="Arial" w:hAnsi="Arial" w:cs="Arial"/>
        </w:rPr>
      </w:pPr>
      <w:r w:rsidRPr="0099149A">
        <w:rPr>
          <w:rFonts w:ascii="Arial" w:hAnsi="Arial" w:cs="Arial"/>
        </w:rPr>
        <w:t>Assistant Director-General, Building Industry and Policy</w:t>
      </w:r>
    </w:p>
    <w:p w:rsidR="0099149A" w:rsidRPr="0099149A" w:rsidRDefault="0099149A" w:rsidP="00D806AE">
      <w:pPr>
        <w:pStyle w:val="ListParagraph"/>
        <w:numPr>
          <w:ilvl w:val="0"/>
          <w:numId w:val="36"/>
        </w:numPr>
        <w:rPr>
          <w:rFonts w:ascii="Arial" w:hAnsi="Arial" w:cs="Arial"/>
        </w:rPr>
      </w:pPr>
      <w:r w:rsidRPr="0099149A">
        <w:rPr>
          <w:rFonts w:ascii="Arial" w:hAnsi="Arial" w:cs="Arial"/>
        </w:rPr>
        <w:t>Chief Finance Officer, Corporate Services</w:t>
      </w:r>
    </w:p>
    <w:p w:rsidR="0099149A" w:rsidRPr="0099149A" w:rsidRDefault="0099149A" w:rsidP="00D806AE">
      <w:pPr>
        <w:pStyle w:val="ListParagraph"/>
        <w:numPr>
          <w:ilvl w:val="0"/>
          <w:numId w:val="36"/>
        </w:numPr>
        <w:rPr>
          <w:rFonts w:ascii="Arial" w:hAnsi="Arial" w:cs="Arial"/>
        </w:rPr>
      </w:pPr>
      <w:r w:rsidRPr="0099149A">
        <w:rPr>
          <w:rFonts w:ascii="Arial" w:hAnsi="Arial" w:cs="Arial"/>
        </w:rPr>
        <w:t>General Manager, Building and Asset Services, Public Works and Asset Management</w:t>
      </w:r>
    </w:p>
    <w:p w:rsidR="0099149A" w:rsidRPr="0099149A" w:rsidRDefault="0099149A" w:rsidP="00D806AE">
      <w:pPr>
        <w:pStyle w:val="ListParagraph"/>
        <w:numPr>
          <w:ilvl w:val="0"/>
          <w:numId w:val="36"/>
        </w:numPr>
        <w:rPr>
          <w:rFonts w:ascii="Arial" w:hAnsi="Arial" w:cs="Arial"/>
        </w:rPr>
      </w:pPr>
      <w:r w:rsidRPr="0099149A">
        <w:rPr>
          <w:rFonts w:ascii="Arial" w:hAnsi="Arial" w:cs="Arial"/>
        </w:rPr>
        <w:t>General Manager, Strategy and Policy, Housing and Homelessness Services</w:t>
      </w:r>
    </w:p>
    <w:p w:rsidR="0099149A" w:rsidRPr="0099149A" w:rsidRDefault="0099149A" w:rsidP="00D806AE">
      <w:pPr>
        <w:pStyle w:val="ListParagraph"/>
        <w:numPr>
          <w:ilvl w:val="0"/>
          <w:numId w:val="36"/>
        </w:numPr>
        <w:rPr>
          <w:rFonts w:ascii="Arial" w:hAnsi="Arial" w:cs="Arial"/>
        </w:rPr>
      </w:pPr>
      <w:r w:rsidRPr="0099149A">
        <w:rPr>
          <w:rFonts w:ascii="Arial" w:hAnsi="Arial" w:cs="Arial"/>
        </w:rPr>
        <w:t>General Manager, Strategy, Policy and Programs, Housing and Homelessness Services</w:t>
      </w:r>
    </w:p>
    <w:p w:rsidR="0099149A" w:rsidRPr="0099149A" w:rsidRDefault="0099149A" w:rsidP="00D806AE">
      <w:pPr>
        <w:pStyle w:val="ListParagraph"/>
        <w:numPr>
          <w:ilvl w:val="0"/>
          <w:numId w:val="36"/>
        </w:numPr>
        <w:rPr>
          <w:rFonts w:ascii="Arial" w:hAnsi="Arial" w:cs="Arial"/>
        </w:rPr>
      </w:pPr>
      <w:r w:rsidRPr="0099149A">
        <w:rPr>
          <w:rFonts w:ascii="Arial" w:hAnsi="Arial" w:cs="Arial"/>
        </w:rPr>
        <w:t>Executive Director, Capital and Assets, Housing and Homelessness Services</w:t>
      </w:r>
    </w:p>
    <w:p w:rsidR="0099149A" w:rsidRPr="0099149A" w:rsidRDefault="0099149A" w:rsidP="00D806AE">
      <w:pPr>
        <w:pStyle w:val="ListParagraph"/>
        <w:numPr>
          <w:ilvl w:val="0"/>
          <w:numId w:val="36"/>
        </w:numPr>
        <w:rPr>
          <w:rFonts w:ascii="Arial" w:hAnsi="Arial" w:cs="Arial"/>
        </w:rPr>
      </w:pPr>
      <w:r w:rsidRPr="0099149A">
        <w:rPr>
          <w:rFonts w:ascii="Arial" w:hAnsi="Arial" w:cs="Arial"/>
        </w:rPr>
        <w:t>Executive Director, Accommodation Office and Government Employee Housing, Public Works and Asset Management</w:t>
      </w:r>
    </w:p>
    <w:p w:rsidR="0099149A" w:rsidRPr="0099149A" w:rsidRDefault="0099149A" w:rsidP="00D806AE">
      <w:pPr>
        <w:pStyle w:val="ListParagraph"/>
        <w:numPr>
          <w:ilvl w:val="0"/>
          <w:numId w:val="36"/>
        </w:numPr>
        <w:rPr>
          <w:rFonts w:ascii="Arial" w:hAnsi="Arial" w:cs="Arial"/>
        </w:rPr>
      </w:pPr>
      <w:r w:rsidRPr="0099149A">
        <w:rPr>
          <w:rFonts w:ascii="Arial" w:hAnsi="Arial" w:cs="Arial"/>
        </w:rPr>
        <w:t xml:space="preserve">Executive Director, Building Industry and Policy </w:t>
      </w:r>
    </w:p>
    <w:p w:rsidR="0099149A" w:rsidRPr="0099149A" w:rsidRDefault="0099149A" w:rsidP="00D806AE">
      <w:pPr>
        <w:pStyle w:val="ListParagraph"/>
        <w:numPr>
          <w:ilvl w:val="0"/>
          <w:numId w:val="36"/>
        </w:numPr>
        <w:rPr>
          <w:rFonts w:ascii="Arial" w:hAnsi="Arial" w:cs="Arial"/>
        </w:rPr>
      </w:pPr>
      <w:r w:rsidRPr="0099149A">
        <w:rPr>
          <w:rFonts w:ascii="Arial" w:hAnsi="Arial" w:cs="Arial"/>
        </w:rPr>
        <w:t>Executive Director, Building Construction and Maintenance, Building Industry and Policy</w:t>
      </w:r>
    </w:p>
    <w:p w:rsidR="0099149A" w:rsidRPr="0099149A" w:rsidRDefault="0099149A" w:rsidP="00D806AE">
      <w:pPr>
        <w:pStyle w:val="ListParagraph"/>
        <w:numPr>
          <w:ilvl w:val="0"/>
          <w:numId w:val="36"/>
        </w:numPr>
        <w:rPr>
          <w:rFonts w:ascii="Arial" w:hAnsi="Arial" w:cs="Arial"/>
        </w:rPr>
      </w:pPr>
      <w:r w:rsidRPr="0099149A">
        <w:rPr>
          <w:rFonts w:ascii="Arial" w:hAnsi="Arial" w:cs="Arial"/>
        </w:rPr>
        <w:t>Executive Director, Contract Services, Building Industry and Policy</w:t>
      </w:r>
    </w:p>
    <w:p w:rsidR="0099149A" w:rsidRPr="0099149A" w:rsidRDefault="0099149A" w:rsidP="00D806AE">
      <w:pPr>
        <w:pStyle w:val="ListParagraph"/>
        <w:numPr>
          <w:ilvl w:val="0"/>
          <w:numId w:val="36"/>
        </w:numPr>
        <w:rPr>
          <w:rFonts w:ascii="Arial" w:hAnsi="Arial" w:cs="Arial"/>
        </w:rPr>
      </w:pPr>
      <w:r w:rsidRPr="0099149A">
        <w:rPr>
          <w:rFonts w:ascii="Arial" w:hAnsi="Arial" w:cs="Arial"/>
        </w:rPr>
        <w:t>Executive Director, Infrastructure and Regional Delivery, Sport and Recreation Services</w:t>
      </w:r>
    </w:p>
    <w:p w:rsidR="0099149A" w:rsidRDefault="0099149A" w:rsidP="0099149A">
      <w:r w:rsidRPr="0099149A">
        <w:t>In 2017–18, the Property Asset Management Committee:</w:t>
      </w:r>
    </w:p>
    <w:p w:rsidR="0099149A" w:rsidRPr="0099149A" w:rsidRDefault="0099149A" w:rsidP="00D806AE">
      <w:pPr>
        <w:pStyle w:val="ListParagraph"/>
        <w:numPr>
          <w:ilvl w:val="0"/>
          <w:numId w:val="36"/>
        </w:numPr>
        <w:rPr>
          <w:rFonts w:ascii="Arial" w:hAnsi="Arial" w:cs="Arial"/>
        </w:rPr>
      </w:pPr>
      <w:r w:rsidRPr="0099149A">
        <w:rPr>
          <w:rFonts w:ascii="Arial" w:hAnsi="Arial" w:cs="Arial"/>
        </w:rPr>
        <w:t xml:space="preserve">reviewed the </w:t>
      </w:r>
      <w:r w:rsidRPr="006E74E8">
        <w:rPr>
          <w:rFonts w:ascii="Arial" w:hAnsi="Arial" w:cs="Arial"/>
          <w:i/>
        </w:rPr>
        <w:t>Total Asset Management Plan</w:t>
      </w:r>
      <w:r w:rsidRPr="0099149A">
        <w:rPr>
          <w:rFonts w:ascii="Arial" w:hAnsi="Arial" w:cs="Arial"/>
        </w:rPr>
        <w:t xml:space="preserve"> outcomes, agreed to priority allocations and endorsed consequential budget and risk strategies</w:t>
      </w:r>
    </w:p>
    <w:p w:rsidR="0099149A" w:rsidRPr="0099149A" w:rsidRDefault="0099149A" w:rsidP="00D806AE">
      <w:pPr>
        <w:pStyle w:val="ListParagraph"/>
        <w:numPr>
          <w:ilvl w:val="0"/>
          <w:numId w:val="36"/>
        </w:numPr>
        <w:rPr>
          <w:rFonts w:ascii="Arial" w:hAnsi="Arial" w:cs="Arial"/>
        </w:rPr>
      </w:pPr>
      <w:r w:rsidRPr="0099149A">
        <w:rPr>
          <w:rFonts w:ascii="Arial" w:hAnsi="Arial" w:cs="Arial"/>
        </w:rPr>
        <w:t>monitored built-infrastructure delivery risks across both planning and construction phases</w:t>
      </w:r>
    </w:p>
    <w:p w:rsidR="0099149A" w:rsidRPr="0099149A" w:rsidRDefault="0099149A" w:rsidP="00D806AE">
      <w:pPr>
        <w:pStyle w:val="ListParagraph"/>
        <w:numPr>
          <w:ilvl w:val="0"/>
          <w:numId w:val="36"/>
        </w:numPr>
        <w:rPr>
          <w:rFonts w:ascii="Arial" w:hAnsi="Arial" w:cs="Arial"/>
        </w:rPr>
      </w:pPr>
      <w:r w:rsidRPr="0099149A">
        <w:rPr>
          <w:rFonts w:ascii="Arial" w:hAnsi="Arial" w:cs="Arial"/>
        </w:rPr>
        <w:t>fostered an asset management culture within the department which considers resilience outcomes.</w:t>
      </w:r>
    </w:p>
    <w:p w:rsidR="0099149A" w:rsidRDefault="0099149A" w:rsidP="0099149A">
      <w:pPr>
        <w:pStyle w:val="Heading4"/>
      </w:pPr>
      <w:r>
        <w:t>Strategic Procurement Committee</w:t>
      </w:r>
    </w:p>
    <w:p w:rsidR="0099149A" w:rsidRDefault="0099149A" w:rsidP="0099149A">
      <w:r>
        <w:t>The Strategic Procurement Committee advises the Director-General on procurement policy and practice and leads delivery of excellence in procurement across the department.</w:t>
      </w:r>
    </w:p>
    <w:p w:rsidR="0099149A" w:rsidRDefault="0099149A" w:rsidP="0099149A">
      <w:r w:rsidRPr="0099149A">
        <w:rPr>
          <w:b/>
        </w:rPr>
        <w:t>Chair:</w:t>
      </w:r>
      <w:r>
        <w:t xml:space="preserve"> Assistant Director-General and Chief Advisor, Queensland Government Procurement</w:t>
      </w:r>
    </w:p>
    <w:p w:rsidR="0099149A" w:rsidRPr="0099149A" w:rsidRDefault="0099149A" w:rsidP="0099149A">
      <w:pPr>
        <w:rPr>
          <w:b/>
        </w:rPr>
      </w:pPr>
      <w:r w:rsidRPr="0099149A">
        <w:rPr>
          <w:b/>
        </w:rPr>
        <w:t>Members:</w:t>
      </w:r>
    </w:p>
    <w:p w:rsidR="0099149A" w:rsidRPr="0099149A" w:rsidRDefault="0099149A" w:rsidP="00D806AE">
      <w:pPr>
        <w:pStyle w:val="ListParagraph"/>
        <w:numPr>
          <w:ilvl w:val="0"/>
          <w:numId w:val="36"/>
        </w:numPr>
        <w:rPr>
          <w:rFonts w:ascii="Arial" w:hAnsi="Arial" w:cs="Arial"/>
        </w:rPr>
      </w:pPr>
      <w:r w:rsidRPr="0099149A">
        <w:rPr>
          <w:rFonts w:ascii="Arial" w:hAnsi="Arial" w:cs="Arial"/>
        </w:rPr>
        <w:t>Assistant Director-General, Corporate Services</w:t>
      </w:r>
    </w:p>
    <w:p w:rsidR="0099149A" w:rsidRPr="0099149A" w:rsidRDefault="0099149A" w:rsidP="00D806AE">
      <w:pPr>
        <w:pStyle w:val="ListParagraph"/>
        <w:numPr>
          <w:ilvl w:val="0"/>
          <w:numId w:val="36"/>
        </w:numPr>
        <w:rPr>
          <w:rFonts w:ascii="Arial" w:hAnsi="Arial" w:cs="Arial"/>
        </w:rPr>
      </w:pPr>
      <w:r w:rsidRPr="0099149A">
        <w:rPr>
          <w:rFonts w:ascii="Arial" w:hAnsi="Arial" w:cs="Arial"/>
        </w:rPr>
        <w:t>Assistant Director-General, Strategic ICT</w:t>
      </w:r>
    </w:p>
    <w:p w:rsidR="0099149A" w:rsidRPr="0099149A" w:rsidRDefault="0099149A" w:rsidP="00D806AE">
      <w:pPr>
        <w:pStyle w:val="ListParagraph"/>
        <w:numPr>
          <w:ilvl w:val="0"/>
          <w:numId w:val="36"/>
        </w:numPr>
        <w:rPr>
          <w:rFonts w:ascii="Arial" w:hAnsi="Arial" w:cs="Arial"/>
        </w:rPr>
      </w:pPr>
      <w:r w:rsidRPr="0099149A">
        <w:rPr>
          <w:rFonts w:ascii="Arial" w:hAnsi="Arial" w:cs="Arial"/>
        </w:rPr>
        <w:t>General Manager, Building and Asset Services, Public Works and Asset Management</w:t>
      </w:r>
    </w:p>
    <w:p w:rsidR="0099149A" w:rsidRPr="0099149A" w:rsidRDefault="0099149A" w:rsidP="00D806AE">
      <w:pPr>
        <w:pStyle w:val="ListParagraph"/>
        <w:numPr>
          <w:ilvl w:val="0"/>
          <w:numId w:val="36"/>
        </w:numPr>
        <w:rPr>
          <w:rFonts w:ascii="Arial" w:hAnsi="Arial" w:cs="Arial"/>
        </w:rPr>
      </w:pPr>
      <w:r w:rsidRPr="0099149A">
        <w:rPr>
          <w:rFonts w:ascii="Arial" w:hAnsi="Arial" w:cs="Arial"/>
        </w:rPr>
        <w:t xml:space="preserve">General Manager, Housing Strategy, Policy and Programs, Housing and Homelessness Services </w:t>
      </w:r>
    </w:p>
    <w:p w:rsidR="0099149A" w:rsidRPr="0099149A" w:rsidRDefault="0099149A" w:rsidP="00D806AE">
      <w:pPr>
        <w:pStyle w:val="ListParagraph"/>
        <w:numPr>
          <w:ilvl w:val="0"/>
          <w:numId w:val="36"/>
        </w:numPr>
        <w:rPr>
          <w:rFonts w:ascii="Arial" w:hAnsi="Arial" w:cs="Arial"/>
        </w:rPr>
      </w:pPr>
      <w:r w:rsidRPr="0099149A">
        <w:rPr>
          <w:rFonts w:ascii="Arial" w:hAnsi="Arial" w:cs="Arial"/>
        </w:rPr>
        <w:t>Executive Director, General Goods and Services, Queensland Government Procurement</w:t>
      </w:r>
    </w:p>
    <w:p w:rsidR="0099149A" w:rsidRPr="0099149A" w:rsidRDefault="0099149A" w:rsidP="00D806AE">
      <w:pPr>
        <w:pStyle w:val="ListParagraph"/>
        <w:numPr>
          <w:ilvl w:val="0"/>
          <w:numId w:val="36"/>
        </w:numPr>
        <w:rPr>
          <w:rFonts w:ascii="Arial" w:hAnsi="Arial" w:cs="Arial"/>
        </w:rPr>
      </w:pPr>
      <w:r w:rsidRPr="0099149A">
        <w:rPr>
          <w:rFonts w:ascii="Arial" w:hAnsi="Arial" w:cs="Arial"/>
        </w:rPr>
        <w:t>Executive Director, Building Construction and Maintenance, Building Industry and Policy</w:t>
      </w:r>
    </w:p>
    <w:p w:rsidR="0099149A" w:rsidRPr="0099149A" w:rsidRDefault="0099149A" w:rsidP="00D806AE">
      <w:pPr>
        <w:pStyle w:val="ListParagraph"/>
        <w:numPr>
          <w:ilvl w:val="0"/>
          <w:numId w:val="36"/>
        </w:numPr>
        <w:rPr>
          <w:rFonts w:ascii="Arial" w:hAnsi="Arial" w:cs="Arial"/>
        </w:rPr>
      </w:pPr>
      <w:r w:rsidRPr="0099149A">
        <w:rPr>
          <w:rFonts w:ascii="Arial" w:hAnsi="Arial" w:cs="Arial"/>
        </w:rPr>
        <w:t>Executive Director, Office of the Chief Advisor Procurement, Queensland Government Procurement</w:t>
      </w:r>
    </w:p>
    <w:p w:rsidR="0099149A" w:rsidRPr="0099149A" w:rsidRDefault="0099149A" w:rsidP="00D806AE">
      <w:pPr>
        <w:pStyle w:val="ListParagraph"/>
        <w:numPr>
          <w:ilvl w:val="0"/>
          <w:numId w:val="36"/>
        </w:numPr>
        <w:rPr>
          <w:rFonts w:ascii="Arial" w:hAnsi="Arial" w:cs="Arial"/>
        </w:rPr>
      </w:pPr>
      <w:r w:rsidRPr="0099149A">
        <w:rPr>
          <w:rFonts w:ascii="Arial" w:hAnsi="Arial" w:cs="Arial"/>
        </w:rPr>
        <w:t>Executive Director, Queensland Government Accommodation Office, Public Works and Asset Management</w:t>
      </w:r>
    </w:p>
    <w:p w:rsidR="0099149A" w:rsidRPr="0099149A" w:rsidRDefault="0099149A" w:rsidP="00D806AE">
      <w:pPr>
        <w:pStyle w:val="ListParagraph"/>
        <w:numPr>
          <w:ilvl w:val="0"/>
          <w:numId w:val="36"/>
        </w:numPr>
        <w:rPr>
          <w:rFonts w:ascii="Arial" w:hAnsi="Arial" w:cs="Arial"/>
        </w:rPr>
      </w:pPr>
      <w:r w:rsidRPr="0099149A">
        <w:rPr>
          <w:rFonts w:ascii="Arial" w:hAnsi="Arial" w:cs="Arial"/>
        </w:rPr>
        <w:t>Executive Director, Government Employee Housing, Public Works and Asset Management</w:t>
      </w:r>
    </w:p>
    <w:p w:rsidR="0099149A" w:rsidRPr="0099149A" w:rsidRDefault="0099149A" w:rsidP="00D806AE">
      <w:pPr>
        <w:pStyle w:val="ListParagraph"/>
        <w:numPr>
          <w:ilvl w:val="0"/>
          <w:numId w:val="36"/>
        </w:numPr>
        <w:rPr>
          <w:rFonts w:ascii="Arial" w:hAnsi="Arial" w:cs="Arial"/>
        </w:rPr>
      </w:pPr>
      <w:r w:rsidRPr="0099149A">
        <w:rPr>
          <w:rFonts w:ascii="Arial" w:hAnsi="Arial" w:cs="Arial"/>
        </w:rPr>
        <w:t>Executive Director, Infrastructure and Regional Delivery, Sport and Recreation Services</w:t>
      </w:r>
    </w:p>
    <w:p w:rsidR="0099149A" w:rsidRDefault="0099149A" w:rsidP="0099149A">
      <w:r w:rsidRPr="0099149A">
        <w:lastRenderedPageBreak/>
        <w:t>In 2017–18, the Strategic Procurement Committee:</w:t>
      </w:r>
    </w:p>
    <w:p w:rsidR="0099149A" w:rsidRPr="0099149A" w:rsidRDefault="0099149A" w:rsidP="00D806AE">
      <w:pPr>
        <w:pStyle w:val="ListParagraph"/>
        <w:numPr>
          <w:ilvl w:val="0"/>
          <w:numId w:val="36"/>
        </w:numPr>
        <w:rPr>
          <w:rFonts w:ascii="Arial" w:hAnsi="Arial" w:cs="Arial"/>
        </w:rPr>
      </w:pPr>
      <w:r w:rsidRPr="0099149A">
        <w:rPr>
          <w:rFonts w:ascii="Arial" w:hAnsi="Arial" w:cs="Arial"/>
        </w:rPr>
        <w:t xml:space="preserve">provided strategic direction to the department to implement the </w:t>
      </w:r>
      <w:r w:rsidRPr="006E74E8">
        <w:rPr>
          <w:rFonts w:ascii="Arial" w:hAnsi="Arial" w:cs="Arial"/>
          <w:i/>
        </w:rPr>
        <w:t>Queensland Government Procurement Strategy 2017</w:t>
      </w:r>
      <w:r w:rsidRPr="0099149A">
        <w:rPr>
          <w:rFonts w:ascii="Arial" w:hAnsi="Arial" w:cs="Arial"/>
        </w:rPr>
        <w:t xml:space="preserve"> and the </w:t>
      </w:r>
      <w:r w:rsidRPr="006E74E8">
        <w:rPr>
          <w:rFonts w:ascii="Arial" w:hAnsi="Arial" w:cs="Arial"/>
          <w:i/>
        </w:rPr>
        <w:t>Queensland Procurement Policy 2018</w:t>
      </w:r>
    </w:p>
    <w:p w:rsidR="0099149A" w:rsidRPr="0099149A" w:rsidRDefault="0099149A" w:rsidP="00D806AE">
      <w:pPr>
        <w:pStyle w:val="ListParagraph"/>
        <w:numPr>
          <w:ilvl w:val="0"/>
          <w:numId w:val="36"/>
        </w:numPr>
        <w:rPr>
          <w:rFonts w:ascii="Arial" w:hAnsi="Arial" w:cs="Arial"/>
        </w:rPr>
      </w:pPr>
      <w:r w:rsidRPr="0099149A">
        <w:rPr>
          <w:rFonts w:ascii="Arial" w:hAnsi="Arial" w:cs="Arial"/>
        </w:rPr>
        <w:t>commenced implementation of recommendations in response to the Queensland Audit Office report on confidentiality and disclosure of government contracts (Report 8: 2017–18)</w:t>
      </w:r>
    </w:p>
    <w:p w:rsidR="0099149A" w:rsidRPr="0099149A" w:rsidRDefault="0099149A" w:rsidP="00D806AE">
      <w:pPr>
        <w:pStyle w:val="ListParagraph"/>
        <w:numPr>
          <w:ilvl w:val="0"/>
          <w:numId w:val="36"/>
        </w:numPr>
        <w:rPr>
          <w:rFonts w:ascii="Arial" w:hAnsi="Arial" w:cs="Arial"/>
        </w:rPr>
      </w:pPr>
      <w:r w:rsidRPr="0099149A">
        <w:rPr>
          <w:rFonts w:ascii="Arial" w:hAnsi="Arial" w:cs="Arial"/>
        </w:rPr>
        <w:t xml:space="preserve">coordinated reporting on </w:t>
      </w:r>
      <w:r w:rsidRPr="006E74E8">
        <w:rPr>
          <w:rFonts w:ascii="Arial" w:hAnsi="Arial" w:cs="Arial"/>
          <w:i/>
        </w:rPr>
        <w:t>Queensland Procurement Policy 2017</w:t>
      </w:r>
      <w:r w:rsidRPr="0099149A">
        <w:rPr>
          <w:rFonts w:ascii="Arial" w:hAnsi="Arial" w:cs="Arial"/>
        </w:rPr>
        <w:t xml:space="preserve"> implementation to assess progress</w:t>
      </w:r>
    </w:p>
    <w:p w:rsidR="0099149A" w:rsidRPr="0099149A" w:rsidRDefault="0099149A" w:rsidP="00D806AE">
      <w:pPr>
        <w:pStyle w:val="ListParagraph"/>
        <w:numPr>
          <w:ilvl w:val="0"/>
          <w:numId w:val="36"/>
        </w:numPr>
        <w:rPr>
          <w:rFonts w:ascii="Arial" w:hAnsi="Arial" w:cs="Arial"/>
        </w:rPr>
      </w:pPr>
      <w:r w:rsidRPr="0099149A">
        <w:rPr>
          <w:rFonts w:ascii="Arial" w:hAnsi="Arial" w:cs="Arial"/>
        </w:rPr>
        <w:t>established a procurement capability baseline for the new department and developed the first ever four-year departmental strategic plan for procurement.</w:t>
      </w:r>
      <w:r w:rsidRPr="0099149A">
        <w:rPr>
          <w:rFonts w:ascii="Arial" w:hAnsi="Arial" w:cs="Arial"/>
        </w:rPr>
        <w:br w:type="page"/>
      </w:r>
    </w:p>
    <w:p w:rsidR="006E74E8" w:rsidRPr="00665F8D" w:rsidRDefault="006E74E8" w:rsidP="006E74E8">
      <w:pPr>
        <w:pStyle w:val="Heading3"/>
      </w:pPr>
      <w:r w:rsidRPr="00665F8D">
        <w:lastRenderedPageBreak/>
        <w:t>Strategic Planning, Performance Monitoring and Reporting</w:t>
      </w:r>
    </w:p>
    <w:p w:rsidR="006E74E8" w:rsidRPr="00C96F1A" w:rsidRDefault="006E74E8" w:rsidP="006E74E8">
      <w:pPr>
        <w:rPr>
          <w:rFonts w:ascii="Arial" w:hAnsi="Arial" w:cs="Arial"/>
        </w:rPr>
      </w:pPr>
      <w:r w:rsidRPr="00C96F1A">
        <w:rPr>
          <w:rFonts w:ascii="Arial" w:hAnsi="Arial" w:cs="Arial"/>
        </w:rPr>
        <w:t xml:space="preserve">The department’s </w:t>
      </w:r>
      <w:r w:rsidRPr="006E74E8">
        <w:rPr>
          <w:rFonts w:ascii="Arial" w:hAnsi="Arial" w:cs="Arial"/>
          <w:i/>
        </w:rPr>
        <w:t>Performance Management Framework</w:t>
      </w:r>
      <w:r w:rsidRPr="00C96F1A">
        <w:rPr>
          <w:rFonts w:ascii="Arial" w:hAnsi="Arial" w:cs="Arial"/>
        </w:rPr>
        <w:t xml:space="preserve"> defines our governance, planning, risk management and performance reporting arrangements.</w:t>
      </w:r>
    </w:p>
    <w:p w:rsidR="006E74E8" w:rsidRPr="00C96F1A" w:rsidRDefault="006E74E8" w:rsidP="006E74E8">
      <w:pPr>
        <w:rPr>
          <w:rFonts w:ascii="Arial" w:hAnsi="Arial" w:cs="Arial"/>
        </w:rPr>
      </w:pPr>
      <w:r w:rsidRPr="00C96F1A">
        <w:rPr>
          <w:rFonts w:ascii="Arial" w:hAnsi="Arial" w:cs="Arial"/>
        </w:rPr>
        <w:t>The framework demonstrates how the department contributes to the achievement of the Government’s strategic priorities through our performance management approaches.</w:t>
      </w:r>
    </w:p>
    <w:p w:rsidR="006E74E8" w:rsidRPr="00C96F1A" w:rsidRDefault="006E74E8" w:rsidP="006E74E8">
      <w:pPr>
        <w:rPr>
          <w:rFonts w:ascii="Arial" w:hAnsi="Arial" w:cs="Arial"/>
        </w:rPr>
      </w:pPr>
      <w:r w:rsidRPr="00C96F1A">
        <w:rPr>
          <w:rFonts w:ascii="Arial" w:hAnsi="Arial" w:cs="Arial"/>
        </w:rPr>
        <w:t>We ensure that our services are delivered efficiently and</w:t>
      </w:r>
      <w:r>
        <w:rPr>
          <w:rFonts w:ascii="Arial" w:hAnsi="Arial" w:cs="Arial"/>
        </w:rPr>
        <w:t xml:space="preserve"> </w:t>
      </w:r>
      <w:r w:rsidRPr="00C96F1A">
        <w:rPr>
          <w:rFonts w:ascii="Arial" w:hAnsi="Arial" w:cs="Arial"/>
        </w:rPr>
        <w:t>effectively through our performance reporting mechanisms.</w:t>
      </w:r>
    </w:p>
    <w:p w:rsidR="006E74E8" w:rsidRPr="00C96F1A" w:rsidRDefault="006E74E8" w:rsidP="006E74E8">
      <w:pPr>
        <w:rPr>
          <w:rFonts w:ascii="Arial" w:hAnsi="Arial" w:cs="Arial"/>
        </w:rPr>
      </w:pPr>
      <w:r w:rsidRPr="00C96F1A">
        <w:rPr>
          <w:rFonts w:ascii="Arial" w:hAnsi="Arial" w:cs="Arial"/>
        </w:rPr>
        <w:t xml:space="preserve">Our performance reporting arrangements are established in line with the Department of the Premier and Cabinet’s </w:t>
      </w:r>
      <w:r w:rsidRPr="006E74E8">
        <w:rPr>
          <w:rFonts w:ascii="Arial" w:hAnsi="Arial" w:cs="Arial"/>
          <w:i/>
        </w:rPr>
        <w:t>Queensland Government</w:t>
      </w:r>
      <w:r w:rsidRPr="00C96F1A">
        <w:rPr>
          <w:rFonts w:ascii="Arial" w:hAnsi="Arial" w:cs="Arial"/>
        </w:rPr>
        <w:t xml:space="preserve"> </w:t>
      </w:r>
      <w:r w:rsidRPr="006E74E8">
        <w:rPr>
          <w:rFonts w:ascii="Arial" w:hAnsi="Arial" w:cs="Arial"/>
          <w:i/>
        </w:rPr>
        <w:t>Performance Management Framework</w:t>
      </w:r>
      <w:r w:rsidRPr="00C96F1A">
        <w:rPr>
          <w:rFonts w:ascii="Arial" w:hAnsi="Arial" w:cs="Arial"/>
        </w:rPr>
        <w:t>.</w:t>
      </w:r>
    </w:p>
    <w:p w:rsidR="006E74E8" w:rsidRPr="00C96F1A" w:rsidRDefault="006E74E8" w:rsidP="006E74E8">
      <w:pPr>
        <w:rPr>
          <w:rFonts w:ascii="Arial" w:hAnsi="Arial" w:cs="Arial"/>
        </w:rPr>
      </w:pPr>
      <w:r w:rsidRPr="00C96F1A">
        <w:rPr>
          <w:rFonts w:ascii="Arial" w:hAnsi="Arial" w:cs="Arial"/>
        </w:rPr>
        <w:t>In 2017–18, we further refined our governance, planning, risk management and performance reporting processes in response to changing business needs and machinery-of-government changes. These refinements ensured we continue to monitor progress towards achieving our strategic objectives and delivering our commitments, and strengthened our capacity to identify and respond to issues and support decision-making.</w:t>
      </w:r>
    </w:p>
    <w:p w:rsidR="0028598A" w:rsidRPr="00C96F1A" w:rsidRDefault="00B625AF" w:rsidP="007A7860">
      <w:pPr>
        <w:pStyle w:val="Heading3"/>
      </w:pPr>
      <w:bookmarkStart w:id="72" w:name="RISK"/>
      <w:r w:rsidRPr="00C96F1A">
        <w:t xml:space="preserve">Risk </w:t>
      </w:r>
      <w:bookmarkEnd w:id="72"/>
      <w:r w:rsidRPr="00C96F1A">
        <w:t>Management</w:t>
      </w:r>
    </w:p>
    <w:p w:rsidR="009710F0" w:rsidRPr="009710F0" w:rsidRDefault="009710F0" w:rsidP="009710F0">
      <w:r w:rsidRPr="009710F0">
        <w:t xml:space="preserve">Our </w:t>
      </w:r>
      <w:r w:rsidRPr="009710F0">
        <w:rPr>
          <w:i/>
        </w:rPr>
        <w:t xml:space="preserve">Risk Management Framework </w:t>
      </w:r>
      <w:r w:rsidRPr="009710F0">
        <w:t xml:space="preserve">outlines the risk management processes and practices that guide risk management within the department and aligns it closely with our governance and accountability structures. Our risk appetite outlines the level of risk that the department is willing to accept in carrying out its operations. During 2017–18, we continued to have a moderate appetite for risk, except for workplace health and safety, and fraud and corruption – for which there is no tolerance. </w:t>
      </w:r>
    </w:p>
    <w:p w:rsidR="0028598A" w:rsidRPr="00C96F1A" w:rsidRDefault="00B625AF" w:rsidP="00C96F1A">
      <w:pPr>
        <w:rPr>
          <w:rFonts w:ascii="Arial" w:hAnsi="Arial" w:cs="Arial"/>
        </w:rPr>
      </w:pPr>
      <w:r w:rsidRPr="00C96F1A">
        <w:rPr>
          <w:rFonts w:ascii="Arial" w:hAnsi="Arial" w:cs="Arial"/>
        </w:rPr>
        <w:t xml:space="preserve">Revision of the </w:t>
      </w:r>
      <w:r w:rsidRPr="006E74E8">
        <w:rPr>
          <w:rFonts w:ascii="Arial" w:hAnsi="Arial" w:cs="Arial"/>
          <w:i/>
        </w:rPr>
        <w:t>Risk Management Framework</w:t>
      </w:r>
      <w:r w:rsidRPr="00C96F1A">
        <w:rPr>
          <w:rFonts w:ascii="Arial" w:hAnsi="Arial" w:cs="Arial"/>
        </w:rPr>
        <w:t xml:space="preserve"> commenced during 2017–18. The revised framework will embrace best practice principles from across the Queensland public sector, accommodate impacts of machinery-of-government changes, and reflect the new international standard for risk management. The framework will be finalised in early 2018–19.</w:t>
      </w:r>
    </w:p>
    <w:p w:rsidR="0028598A" w:rsidRPr="00C96F1A" w:rsidRDefault="00B625AF" w:rsidP="00C96F1A">
      <w:pPr>
        <w:rPr>
          <w:rFonts w:ascii="Arial" w:hAnsi="Arial" w:cs="Arial"/>
        </w:rPr>
      </w:pPr>
      <w:r w:rsidRPr="00C96F1A">
        <w:rPr>
          <w:rFonts w:ascii="Arial" w:hAnsi="Arial" w:cs="Arial"/>
        </w:rPr>
        <w:t xml:space="preserve">Actions to embed good risk management practices across the department are captured in the department’s </w:t>
      </w:r>
      <w:r w:rsidRPr="0006740F">
        <w:rPr>
          <w:rFonts w:ascii="Arial" w:hAnsi="Arial" w:cs="Arial"/>
          <w:i/>
        </w:rPr>
        <w:t>Risk Management Strategy 2017–20</w:t>
      </w:r>
      <w:r w:rsidR="0006740F">
        <w:rPr>
          <w:rFonts w:ascii="Arial" w:hAnsi="Arial" w:cs="Arial"/>
          <w:i/>
        </w:rPr>
        <w:t>.</w:t>
      </w:r>
      <w:r w:rsidRPr="00C96F1A">
        <w:rPr>
          <w:rFonts w:ascii="Arial" w:hAnsi="Arial" w:cs="Arial"/>
        </w:rPr>
        <w:t xml:space="preserve"> This strategy outlines planned actions relating to risk management policy, processes, culture, capability and technology. It covers a three-year period and</w:t>
      </w:r>
    </w:p>
    <w:p w:rsidR="0028598A" w:rsidRPr="00C96F1A" w:rsidRDefault="00B625AF" w:rsidP="00C96F1A">
      <w:pPr>
        <w:rPr>
          <w:rFonts w:ascii="Arial" w:hAnsi="Arial" w:cs="Arial"/>
        </w:rPr>
      </w:pPr>
      <w:r w:rsidRPr="00C96F1A">
        <w:rPr>
          <w:rFonts w:ascii="Arial" w:hAnsi="Arial" w:cs="Arial"/>
        </w:rPr>
        <w:t>is revised annually. In accordance with the strategy, divisions progressed risk maturity actions, including those identified in risk management process audits undertaken during 2016–17. Communication, awareness-raising and capability development activities were undertaken during the year to reinforce good risk management practices.</w:t>
      </w:r>
    </w:p>
    <w:p w:rsidR="0028598A" w:rsidRPr="00C96F1A" w:rsidRDefault="00B625AF" w:rsidP="007A7860">
      <w:pPr>
        <w:pStyle w:val="Heading3"/>
      </w:pPr>
      <w:r w:rsidRPr="00C96F1A">
        <w:t>Integrity Services</w:t>
      </w:r>
    </w:p>
    <w:p w:rsidR="0028598A" w:rsidRPr="00C96F1A" w:rsidRDefault="00B625AF" w:rsidP="00C96F1A">
      <w:pPr>
        <w:rPr>
          <w:rFonts w:ascii="Arial" w:hAnsi="Arial" w:cs="Arial"/>
        </w:rPr>
      </w:pPr>
      <w:r w:rsidRPr="00C96F1A">
        <w:rPr>
          <w:rFonts w:ascii="Arial" w:hAnsi="Arial" w:cs="Arial"/>
        </w:rPr>
        <w:t>The department has a dedicated Integrity Services Unit which provides expert, high level advice, management and coordination of significant and complex public service</w:t>
      </w:r>
    </w:p>
    <w:p w:rsidR="0028598A" w:rsidRPr="00C96F1A" w:rsidRDefault="00B625AF" w:rsidP="00C96F1A">
      <w:pPr>
        <w:rPr>
          <w:rFonts w:ascii="Arial" w:hAnsi="Arial" w:cs="Arial"/>
        </w:rPr>
      </w:pPr>
      <w:r w:rsidRPr="00C96F1A">
        <w:rPr>
          <w:rFonts w:ascii="Arial" w:hAnsi="Arial" w:cs="Arial"/>
        </w:rPr>
        <w:t>administrative investigations about corrupt conduct matters (including fraud and corruption), as well as recommending and monitoring actions to prevent future wrongdoing.</w:t>
      </w:r>
    </w:p>
    <w:p w:rsidR="0028598A" w:rsidRPr="00C96F1A" w:rsidRDefault="00B625AF" w:rsidP="00C96F1A">
      <w:pPr>
        <w:rPr>
          <w:rFonts w:ascii="Arial" w:hAnsi="Arial" w:cs="Arial"/>
        </w:rPr>
      </w:pPr>
      <w:r w:rsidRPr="00C96F1A">
        <w:rPr>
          <w:rFonts w:ascii="Arial" w:hAnsi="Arial" w:cs="Arial"/>
        </w:rPr>
        <w:t>The department demonstrates its commitment to maintaining high integrity standards through its integrity framework, which aims to deliver high performance, professional standards and public confidence through the effective prevention, detection and response to instances of fraud and corruption. The framework outlines the processes necessary to set, implement and monitor integrity standards, and manage instances of non- conformance.</w:t>
      </w:r>
    </w:p>
    <w:p w:rsidR="0028598A" w:rsidRPr="00C96F1A" w:rsidRDefault="00B625AF" w:rsidP="00C96F1A">
      <w:pPr>
        <w:rPr>
          <w:rFonts w:ascii="Arial" w:hAnsi="Arial" w:cs="Arial"/>
        </w:rPr>
      </w:pPr>
      <w:r w:rsidRPr="00C96F1A">
        <w:rPr>
          <w:rFonts w:ascii="Arial" w:hAnsi="Arial" w:cs="Arial"/>
        </w:rPr>
        <w:t xml:space="preserve">During 2017–18, the department issued a suite of fraud and corruption prevention initiatives that form part of HPW’s annual fraud and corruption prevention plan. These include regular emails and </w:t>
      </w:r>
      <w:r w:rsidRPr="00C96F1A">
        <w:rPr>
          <w:rFonts w:ascii="Arial" w:hAnsi="Arial" w:cs="Arial"/>
        </w:rPr>
        <w:lastRenderedPageBreak/>
        <w:t>other communications relating to HPW’s</w:t>
      </w:r>
      <w:r w:rsidR="0006740F">
        <w:rPr>
          <w:rFonts w:ascii="Arial" w:hAnsi="Arial" w:cs="Arial"/>
        </w:rPr>
        <w:t xml:space="preserve"> </w:t>
      </w:r>
      <w:r w:rsidRPr="00C96F1A">
        <w:rPr>
          <w:rFonts w:ascii="Arial" w:hAnsi="Arial" w:cs="Arial"/>
        </w:rPr>
        <w:t>commitment and expectations to maintain the highest standards of professional conduct, ethical business practices and meeting public expectations of transparency and integrity and the department’s zero tolerance to fraud and corruption.</w:t>
      </w:r>
    </w:p>
    <w:p w:rsidR="0028598A" w:rsidRPr="00C96F1A" w:rsidRDefault="00B625AF" w:rsidP="007A7860">
      <w:pPr>
        <w:pStyle w:val="Heading3"/>
      </w:pPr>
      <w:bookmarkStart w:id="73" w:name="_TOC_250007"/>
      <w:bookmarkEnd w:id="73"/>
      <w:r w:rsidRPr="00C96F1A">
        <w:t xml:space="preserve">Internal </w:t>
      </w:r>
      <w:bookmarkStart w:id="74" w:name="AUDIT"/>
      <w:r w:rsidRPr="00C96F1A">
        <w:t>Audit</w:t>
      </w:r>
      <w:bookmarkEnd w:id="74"/>
    </w:p>
    <w:p w:rsidR="0028598A" w:rsidRPr="00C96F1A" w:rsidRDefault="00B625AF" w:rsidP="00C96F1A">
      <w:pPr>
        <w:rPr>
          <w:rFonts w:ascii="Arial" w:hAnsi="Arial" w:cs="Arial"/>
        </w:rPr>
      </w:pPr>
      <w:r w:rsidRPr="00C96F1A">
        <w:rPr>
          <w:rFonts w:ascii="Arial" w:hAnsi="Arial" w:cs="Arial"/>
        </w:rPr>
        <w:t>In accordance with section 29 of the Financial and Performance Management Standard 2009, the Director-General has established the Internal Audit function as a key component of the department’s governance framework.</w:t>
      </w:r>
    </w:p>
    <w:p w:rsidR="0028598A" w:rsidRPr="00C96F1A" w:rsidRDefault="00B625AF" w:rsidP="00C96F1A">
      <w:pPr>
        <w:rPr>
          <w:rFonts w:ascii="Arial" w:hAnsi="Arial" w:cs="Arial"/>
        </w:rPr>
      </w:pPr>
      <w:r w:rsidRPr="00C96F1A">
        <w:rPr>
          <w:rFonts w:ascii="Arial" w:hAnsi="Arial" w:cs="Arial"/>
        </w:rPr>
        <w:t>The Internal Audit function operates under an approved internal audit charter as required under Section 30 of the Standard. The charter defines the purpose, authority and roles and responsibilities of the function and is consistent with the</w:t>
      </w:r>
    </w:p>
    <w:p w:rsidR="0028598A" w:rsidRPr="00C96F1A" w:rsidRDefault="00B625AF" w:rsidP="00C96F1A">
      <w:pPr>
        <w:rPr>
          <w:rFonts w:ascii="Arial" w:hAnsi="Arial" w:cs="Arial"/>
        </w:rPr>
      </w:pPr>
      <w:r w:rsidRPr="00C96F1A">
        <w:rPr>
          <w:rFonts w:ascii="Arial" w:hAnsi="Arial" w:cs="Arial"/>
        </w:rPr>
        <w:t>requirements of the International Standards for the Professional Practice of Internal Auditing as set by the Institute of Internal Auditors. The Internal Audit function applies and upholds the principles of integrity, objectivity, confidentiality and competency under the Institute of Internal Auditors’ formal Code of Ethics.</w:t>
      </w:r>
    </w:p>
    <w:p w:rsidR="0028598A" w:rsidRPr="00C96F1A" w:rsidRDefault="00B625AF" w:rsidP="00C96F1A">
      <w:pPr>
        <w:rPr>
          <w:rFonts w:ascii="Arial" w:hAnsi="Arial" w:cs="Arial"/>
        </w:rPr>
      </w:pPr>
      <w:r w:rsidRPr="00C96F1A">
        <w:rPr>
          <w:rFonts w:ascii="Arial" w:hAnsi="Arial" w:cs="Arial"/>
        </w:rPr>
        <w:t>The Internal Audit function operates independently and provides assurance to the Director-General on whether the department’s financial and operational controls are operating in an efficient   and effective manner. It also supports the department through the provision of independent and objective consulting activities. The function has no direct authority or responsibility for the activities it reviews and does not have authority to perform operational functions or activities.</w:t>
      </w:r>
    </w:p>
    <w:p w:rsidR="0028598A" w:rsidRPr="00C96F1A" w:rsidRDefault="00B625AF" w:rsidP="00C96F1A">
      <w:pPr>
        <w:rPr>
          <w:rFonts w:ascii="Arial" w:hAnsi="Arial" w:cs="Arial"/>
        </w:rPr>
      </w:pPr>
      <w:r w:rsidRPr="00C96F1A">
        <w:rPr>
          <w:rFonts w:ascii="Arial" w:hAnsi="Arial" w:cs="Arial"/>
        </w:rPr>
        <w:t>The Internal Audit function prepared a strategic audit plan which provided an overall strategy for the function and an annual internal audit plan setting out the audits intended to be carried out during the year.</w:t>
      </w:r>
    </w:p>
    <w:p w:rsidR="0028598A" w:rsidRPr="00C96F1A" w:rsidRDefault="00B625AF" w:rsidP="00C96F1A">
      <w:pPr>
        <w:rPr>
          <w:rFonts w:ascii="Arial" w:hAnsi="Arial" w:cs="Arial"/>
        </w:rPr>
      </w:pPr>
      <w:r w:rsidRPr="00C96F1A">
        <w:rPr>
          <w:rFonts w:ascii="Arial" w:hAnsi="Arial" w:cs="Arial"/>
        </w:rPr>
        <w:t>Internal Audit has a quality improvement program to ensure the</w:t>
      </w:r>
      <w:r w:rsidR="007A7860">
        <w:rPr>
          <w:rFonts w:ascii="Arial" w:hAnsi="Arial" w:cs="Arial"/>
        </w:rPr>
        <w:t xml:space="preserve"> </w:t>
      </w:r>
      <w:r w:rsidRPr="00C96F1A">
        <w:rPr>
          <w:rFonts w:ascii="Arial" w:hAnsi="Arial" w:cs="Arial"/>
        </w:rPr>
        <w:t>effective efficient and economical operation of the function.</w:t>
      </w:r>
    </w:p>
    <w:p w:rsidR="0028598A" w:rsidRPr="00C96F1A" w:rsidRDefault="00B625AF" w:rsidP="00C96F1A">
      <w:pPr>
        <w:rPr>
          <w:rFonts w:ascii="Arial" w:hAnsi="Arial" w:cs="Arial"/>
        </w:rPr>
      </w:pPr>
      <w:r w:rsidRPr="00C96F1A">
        <w:rPr>
          <w:rFonts w:ascii="Arial" w:hAnsi="Arial" w:cs="Arial"/>
        </w:rPr>
        <w:t>Internal Audit coordinates its activities with the Queensland Audit Office to obtain satisfactory audit coverage and minimise duplication of effort.</w:t>
      </w:r>
    </w:p>
    <w:p w:rsidR="0028598A" w:rsidRPr="00C96F1A" w:rsidRDefault="00B625AF" w:rsidP="00C96F1A">
      <w:pPr>
        <w:rPr>
          <w:rFonts w:ascii="Arial" w:hAnsi="Arial" w:cs="Arial"/>
        </w:rPr>
      </w:pPr>
      <w:r w:rsidRPr="00C96F1A">
        <w:rPr>
          <w:rFonts w:ascii="Arial" w:hAnsi="Arial" w:cs="Arial"/>
        </w:rPr>
        <w:t>In 2017–18, Internal Audit:</w:t>
      </w:r>
    </w:p>
    <w:p w:rsidR="0028598A" w:rsidRPr="007A7860" w:rsidRDefault="00B625AF" w:rsidP="00D806AE">
      <w:pPr>
        <w:pStyle w:val="ListParagraph"/>
        <w:numPr>
          <w:ilvl w:val="0"/>
          <w:numId w:val="37"/>
        </w:numPr>
        <w:rPr>
          <w:rFonts w:ascii="Arial" w:hAnsi="Arial" w:cs="Arial"/>
        </w:rPr>
      </w:pPr>
      <w:r w:rsidRPr="007A7860">
        <w:rPr>
          <w:rFonts w:ascii="Arial" w:hAnsi="Arial" w:cs="Arial"/>
        </w:rPr>
        <w:t>completed 20 audits and three management requests which included performing data analytics</w:t>
      </w:r>
    </w:p>
    <w:p w:rsidR="0028598A" w:rsidRPr="007A7860" w:rsidRDefault="00B625AF" w:rsidP="00D806AE">
      <w:pPr>
        <w:pStyle w:val="ListParagraph"/>
        <w:numPr>
          <w:ilvl w:val="0"/>
          <w:numId w:val="37"/>
        </w:numPr>
        <w:rPr>
          <w:rFonts w:ascii="Arial" w:hAnsi="Arial" w:cs="Arial"/>
        </w:rPr>
      </w:pPr>
      <w:r w:rsidRPr="007A7860">
        <w:rPr>
          <w:rFonts w:ascii="Arial" w:hAnsi="Arial" w:cs="Arial"/>
        </w:rPr>
        <w:t>provided consulting activities and participated in ongoing program and project assurance</w:t>
      </w:r>
    </w:p>
    <w:p w:rsidR="0028598A" w:rsidRPr="007A7860" w:rsidRDefault="00B625AF" w:rsidP="00D806AE">
      <w:pPr>
        <w:pStyle w:val="ListParagraph"/>
        <w:numPr>
          <w:ilvl w:val="0"/>
          <w:numId w:val="37"/>
        </w:numPr>
        <w:rPr>
          <w:rFonts w:ascii="Arial" w:hAnsi="Arial" w:cs="Arial"/>
        </w:rPr>
      </w:pPr>
      <w:r w:rsidRPr="007A7860">
        <w:rPr>
          <w:rFonts w:ascii="Arial" w:hAnsi="Arial" w:cs="Arial"/>
        </w:rPr>
        <w:t>identified significant operational and financial risks by considering the department’s risk registers and risk management processes.</w:t>
      </w:r>
    </w:p>
    <w:p w:rsidR="0028598A" w:rsidRPr="0006740F" w:rsidRDefault="00B625AF" w:rsidP="0006740F">
      <w:pPr>
        <w:rPr>
          <w:rFonts w:ascii="Arial" w:hAnsi="Arial" w:cs="Arial"/>
        </w:rPr>
      </w:pPr>
      <w:r w:rsidRPr="0006740F">
        <w:rPr>
          <w:rFonts w:ascii="Arial" w:hAnsi="Arial" w:cs="Arial"/>
        </w:rPr>
        <w:t xml:space="preserve">Internal Audit had due regard to the </w:t>
      </w:r>
      <w:r w:rsidRPr="0006740F">
        <w:rPr>
          <w:rFonts w:ascii="Arial" w:hAnsi="Arial" w:cs="Arial"/>
          <w:i/>
        </w:rPr>
        <w:t>Audit Committee Guidelines</w:t>
      </w:r>
      <w:r w:rsidRPr="0006740F">
        <w:rPr>
          <w:rFonts w:ascii="Arial" w:hAnsi="Arial" w:cs="Arial"/>
        </w:rPr>
        <w:t>.</w:t>
      </w:r>
    </w:p>
    <w:p w:rsidR="0028598A" w:rsidRPr="00C96F1A" w:rsidRDefault="00B625AF" w:rsidP="007A7860">
      <w:pPr>
        <w:pStyle w:val="Heading3"/>
      </w:pPr>
      <w:r w:rsidRPr="00C96F1A">
        <w:t xml:space="preserve">Information Systems and </w:t>
      </w:r>
      <w:bookmarkStart w:id="75" w:name="RECORD_KEEPING"/>
      <w:r w:rsidRPr="00C96F1A">
        <w:t>Recordkeeping</w:t>
      </w:r>
      <w:bookmarkEnd w:id="75"/>
    </w:p>
    <w:p w:rsidR="0028598A" w:rsidRPr="00C96F1A" w:rsidRDefault="00B625AF" w:rsidP="00C96F1A">
      <w:pPr>
        <w:rPr>
          <w:rFonts w:ascii="Arial" w:hAnsi="Arial" w:cs="Arial"/>
        </w:rPr>
      </w:pPr>
      <w:r w:rsidRPr="00C96F1A">
        <w:rPr>
          <w:rFonts w:ascii="Arial" w:hAnsi="Arial" w:cs="Arial"/>
        </w:rPr>
        <w:t>Recordkeeping is actively managed within departmental business areas. The department’s recordkeeping policy suite provides formal assignment of the roles and responsibilities of all staff. The department manages records within business information systems and the electronic document and records management system (eDRMS).</w:t>
      </w:r>
    </w:p>
    <w:p w:rsidR="0028598A" w:rsidRPr="00C96F1A" w:rsidRDefault="00B625AF" w:rsidP="00C96F1A">
      <w:pPr>
        <w:rPr>
          <w:rFonts w:ascii="Arial" w:hAnsi="Arial" w:cs="Arial"/>
        </w:rPr>
      </w:pPr>
      <w:r w:rsidRPr="00C96F1A">
        <w:rPr>
          <w:rFonts w:ascii="Arial" w:hAnsi="Arial" w:cs="Arial"/>
        </w:rPr>
        <w:t>In 2017–18 the department has made:</w:t>
      </w:r>
    </w:p>
    <w:p w:rsidR="0028598A" w:rsidRPr="007A7860" w:rsidRDefault="00B625AF" w:rsidP="00D806AE">
      <w:pPr>
        <w:pStyle w:val="ListParagraph"/>
        <w:numPr>
          <w:ilvl w:val="0"/>
          <w:numId w:val="38"/>
        </w:numPr>
        <w:rPr>
          <w:rFonts w:ascii="Arial" w:hAnsi="Arial" w:cs="Arial"/>
        </w:rPr>
      </w:pPr>
      <w:r w:rsidRPr="007A7860">
        <w:rPr>
          <w:rFonts w:ascii="Arial" w:hAnsi="Arial" w:cs="Arial"/>
        </w:rPr>
        <w:t>significant progress in the capture and use of digital records through the department’s eDRMS within Housing Service Centres across Queensland</w:t>
      </w:r>
    </w:p>
    <w:p w:rsidR="0028598A" w:rsidRPr="007A7860" w:rsidRDefault="00B625AF" w:rsidP="00D806AE">
      <w:pPr>
        <w:pStyle w:val="ListParagraph"/>
        <w:numPr>
          <w:ilvl w:val="0"/>
          <w:numId w:val="38"/>
        </w:numPr>
        <w:rPr>
          <w:rFonts w:ascii="Arial" w:hAnsi="Arial" w:cs="Arial"/>
        </w:rPr>
      </w:pPr>
      <w:r w:rsidRPr="007A7860">
        <w:rPr>
          <w:rFonts w:ascii="Arial" w:hAnsi="Arial" w:cs="Arial"/>
        </w:rPr>
        <w:t>annual version upgrades to the department’s eDRMS application to ensure the system is reliable and the information and records held are managed and secure</w:t>
      </w:r>
    </w:p>
    <w:p w:rsidR="0028598A" w:rsidRPr="007A7860" w:rsidRDefault="00B625AF" w:rsidP="00D806AE">
      <w:pPr>
        <w:pStyle w:val="ListParagraph"/>
        <w:numPr>
          <w:ilvl w:val="0"/>
          <w:numId w:val="38"/>
        </w:numPr>
        <w:rPr>
          <w:rFonts w:ascii="Arial" w:hAnsi="Arial" w:cs="Arial"/>
        </w:rPr>
      </w:pPr>
      <w:r w:rsidRPr="007A7860">
        <w:rPr>
          <w:rFonts w:ascii="Arial" w:hAnsi="Arial" w:cs="Arial"/>
        </w:rPr>
        <w:lastRenderedPageBreak/>
        <w:t>the department’s eDRMS application compliant by adopting the new general retention and disposal schedule</w:t>
      </w:r>
    </w:p>
    <w:p w:rsidR="0028598A" w:rsidRPr="007A7860" w:rsidRDefault="00B625AF" w:rsidP="00D806AE">
      <w:pPr>
        <w:pStyle w:val="ListParagraph"/>
        <w:numPr>
          <w:ilvl w:val="0"/>
          <w:numId w:val="38"/>
        </w:numPr>
        <w:rPr>
          <w:rFonts w:ascii="Arial" w:hAnsi="Arial" w:cs="Arial"/>
        </w:rPr>
      </w:pPr>
      <w:r w:rsidRPr="007A7860">
        <w:rPr>
          <w:rFonts w:ascii="Arial" w:hAnsi="Arial" w:cs="Arial"/>
        </w:rPr>
        <w:t>authorised disposal activities in accordance with authorised retention and disposal schedules annually</w:t>
      </w:r>
    </w:p>
    <w:p w:rsidR="0028598A" w:rsidRPr="007A7860" w:rsidRDefault="00B625AF" w:rsidP="00D806AE">
      <w:pPr>
        <w:pStyle w:val="ListParagraph"/>
        <w:numPr>
          <w:ilvl w:val="0"/>
          <w:numId w:val="38"/>
        </w:numPr>
        <w:rPr>
          <w:rFonts w:ascii="Arial" w:hAnsi="Arial" w:cs="Arial"/>
        </w:rPr>
      </w:pPr>
      <w:r w:rsidRPr="007A7860">
        <w:rPr>
          <w:rFonts w:ascii="Arial" w:hAnsi="Arial" w:cs="Arial"/>
        </w:rPr>
        <w:t>regular stakeholder feedback available to Queensland State Archives in response to whole-of-government recordkeeping artefacts.</w:t>
      </w:r>
    </w:p>
    <w:p w:rsidR="0028598A" w:rsidRPr="00C96F1A" w:rsidRDefault="00B625AF" w:rsidP="007A7860">
      <w:pPr>
        <w:pStyle w:val="Heading3"/>
      </w:pPr>
      <w:bookmarkStart w:id="76" w:name="_TOC_250005"/>
      <w:bookmarkEnd w:id="76"/>
      <w:r w:rsidRPr="00C96F1A">
        <w:t>Information Technology</w:t>
      </w:r>
    </w:p>
    <w:p w:rsidR="0028598A" w:rsidRPr="00C96F1A" w:rsidRDefault="00B625AF" w:rsidP="00C96F1A">
      <w:pPr>
        <w:rPr>
          <w:rFonts w:ascii="Arial" w:hAnsi="Arial" w:cs="Arial"/>
        </w:rPr>
      </w:pPr>
      <w:r w:rsidRPr="00C96F1A">
        <w:rPr>
          <w:rFonts w:ascii="Arial" w:hAnsi="Arial" w:cs="Arial"/>
        </w:rPr>
        <w:t xml:space="preserve">The Information Services Directorate has innovative, agile and cost-effective information technology services that enhance the delivery of quality services across the department through the </w:t>
      </w:r>
      <w:r w:rsidRPr="0006740F">
        <w:rPr>
          <w:rFonts w:ascii="Arial" w:hAnsi="Arial" w:cs="Arial"/>
          <w:i/>
        </w:rPr>
        <w:t>ICT Strategic Plan 2017–21</w:t>
      </w:r>
      <w:r w:rsidRPr="00C96F1A">
        <w:rPr>
          <w:rFonts w:ascii="Arial" w:hAnsi="Arial" w:cs="Arial"/>
        </w:rPr>
        <w:t>.</w:t>
      </w:r>
    </w:p>
    <w:p w:rsidR="0028598A" w:rsidRPr="00C96F1A" w:rsidRDefault="00B625AF" w:rsidP="00C96F1A">
      <w:pPr>
        <w:rPr>
          <w:rFonts w:ascii="Arial" w:hAnsi="Arial" w:cs="Arial"/>
        </w:rPr>
      </w:pPr>
      <w:r w:rsidRPr="00C96F1A">
        <w:rPr>
          <w:rFonts w:ascii="Arial" w:hAnsi="Arial" w:cs="Arial"/>
        </w:rPr>
        <w:t>Supporting the Queensland Government’s digital adoption has changed the way ICT services are provided by highlighting the use of information, giving departmental staff the support, choice and creativity to be smarter in the way the department uses technology.</w:t>
      </w:r>
    </w:p>
    <w:p w:rsidR="0028598A" w:rsidRPr="00C96F1A" w:rsidRDefault="00B625AF" w:rsidP="00C96F1A">
      <w:pPr>
        <w:rPr>
          <w:rFonts w:ascii="Arial" w:hAnsi="Arial" w:cs="Arial"/>
        </w:rPr>
      </w:pPr>
      <w:r w:rsidRPr="00C96F1A">
        <w:rPr>
          <w:rFonts w:ascii="Arial" w:hAnsi="Arial" w:cs="Arial"/>
        </w:rPr>
        <w:t>The Information Services Directorate Service Desk provides support to staff across the state. The Service Desk manages an average of 5,656 enquiries per month from departmental officers.</w:t>
      </w:r>
    </w:p>
    <w:p w:rsidR="0028598A" w:rsidRPr="00C96F1A" w:rsidRDefault="00B625AF" w:rsidP="00C96F1A">
      <w:pPr>
        <w:rPr>
          <w:rFonts w:ascii="Arial" w:hAnsi="Arial" w:cs="Arial"/>
        </w:rPr>
      </w:pPr>
      <w:r w:rsidRPr="00C96F1A">
        <w:rPr>
          <w:rFonts w:ascii="Arial" w:hAnsi="Arial" w:cs="Arial"/>
        </w:rPr>
        <w:t>The increase in services in 2017–18 is due to the transition of the former Department of Science, Information Technology and Innovation into the department.</w:t>
      </w:r>
    </w:p>
    <w:tbl>
      <w:tblPr>
        <w:tblW w:w="92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77"/>
        <w:gridCol w:w="2093"/>
        <w:gridCol w:w="2540"/>
        <w:gridCol w:w="1641"/>
      </w:tblGrid>
      <w:tr w:rsidR="007A7860" w:rsidRPr="007A7860" w:rsidTr="006F7B73">
        <w:trPr>
          <w:cantSplit/>
        </w:trPr>
        <w:tc>
          <w:tcPr>
            <w:tcW w:w="2977" w:type="dxa"/>
            <w:shd w:val="clear" w:color="auto" w:fill="ECEBE8"/>
          </w:tcPr>
          <w:p w:rsidR="007A7860" w:rsidRPr="007A7860" w:rsidRDefault="007A7860" w:rsidP="006F7B73">
            <w:pPr>
              <w:rPr>
                <w:rFonts w:ascii="Arial" w:hAnsi="Arial" w:cs="Arial"/>
                <w:b/>
              </w:rPr>
            </w:pPr>
            <w:r w:rsidRPr="007A7860">
              <w:rPr>
                <w:rFonts w:ascii="Arial" w:hAnsi="Arial" w:cs="Arial"/>
                <w:b/>
              </w:rPr>
              <w:t>Service type</w:t>
            </w:r>
          </w:p>
        </w:tc>
        <w:tc>
          <w:tcPr>
            <w:tcW w:w="2093" w:type="dxa"/>
            <w:shd w:val="clear" w:color="auto" w:fill="ECEBE8"/>
          </w:tcPr>
          <w:p w:rsidR="007A7860" w:rsidRPr="007A7860" w:rsidRDefault="007A7860" w:rsidP="006F7B73">
            <w:pPr>
              <w:ind w:right="284"/>
              <w:jc w:val="right"/>
              <w:rPr>
                <w:rFonts w:ascii="Arial" w:hAnsi="Arial" w:cs="Arial"/>
                <w:b/>
              </w:rPr>
            </w:pPr>
            <w:r w:rsidRPr="007A7860">
              <w:rPr>
                <w:rFonts w:ascii="Arial" w:hAnsi="Arial" w:cs="Arial"/>
                <w:b/>
              </w:rPr>
              <w:t>2015–16</w:t>
            </w:r>
          </w:p>
        </w:tc>
        <w:tc>
          <w:tcPr>
            <w:tcW w:w="2540" w:type="dxa"/>
            <w:shd w:val="clear" w:color="auto" w:fill="ECEBE8"/>
          </w:tcPr>
          <w:p w:rsidR="007A7860" w:rsidRPr="007A7860" w:rsidRDefault="007A7860" w:rsidP="006F7B73">
            <w:pPr>
              <w:ind w:right="284"/>
              <w:jc w:val="right"/>
              <w:rPr>
                <w:rFonts w:ascii="Arial" w:hAnsi="Arial" w:cs="Arial"/>
                <w:b/>
              </w:rPr>
            </w:pPr>
            <w:r w:rsidRPr="007A7860">
              <w:rPr>
                <w:rFonts w:ascii="Arial" w:hAnsi="Arial" w:cs="Arial"/>
                <w:b/>
              </w:rPr>
              <w:t>2016–17</w:t>
            </w:r>
          </w:p>
        </w:tc>
        <w:tc>
          <w:tcPr>
            <w:tcW w:w="1641" w:type="dxa"/>
            <w:shd w:val="clear" w:color="auto" w:fill="ECEBE8"/>
          </w:tcPr>
          <w:p w:rsidR="007A7860" w:rsidRPr="007A7860" w:rsidRDefault="007A7860" w:rsidP="006F7B73">
            <w:pPr>
              <w:ind w:right="284"/>
              <w:jc w:val="right"/>
              <w:rPr>
                <w:rFonts w:ascii="Arial" w:hAnsi="Arial" w:cs="Arial"/>
                <w:b/>
              </w:rPr>
            </w:pPr>
            <w:r w:rsidRPr="007A7860">
              <w:rPr>
                <w:rFonts w:ascii="Arial" w:hAnsi="Arial" w:cs="Arial"/>
                <w:b/>
              </w:rPr>
              <w:t>2017–18</w:t>
            </w:r>
          </w:p>
        </w:tc>
      </w:tr>
      <w:tr w:rsidR="007A7860" w:rsidRPr="00C96F1A" w:rsidTr="006F7B73">
        <w:trPr>
          <w:cantSplit/>
        </w:trPr>
        <w:tc>
          <w:tcPr>
            <w:tcW w:w="2977" w:type="dxa"/>
            <w:shd w:val="clear" w:color="auto" w:fill="ECEBE8"/>
          </w:tcPr>
          <w:p w:rsidR="007A7860" w:rsidRPr="007A7860" w:rsidRDefault="007A7860" w:rsidP="006F7B73">
            <w:pPr>
              <w:rPr>
                <w:rFonts w:ascii="Arial" w:hAnsi="Arial" w:cs="Arial"/>
                <w:b/>
              </w:rPr>
            </w:pPr>
            <w:r w:rsidRPr="007A7860">
              <w:rPr>
                <w:rFonts w:ascii="Arial" w:hAnsi="Arial" w:cs="Arial"/>
                <w:b/>
              </w:rPr>
              <w:t>Self service</w:t>
            </w:r>
          </w:p>
        </w:tc>
        <w:tc>
          <w:tcPr>
            <w:tcW w:w="2093" w:type="dxa"/>
            <w:shd w:val="clear" w:color="auto" w:fill="ECEBE8"/>
          </w:tcPr>
          <w:p w:rsidR="007A7860" w:rsidRPr="00C96F1A" w:rsidRDefault="007A7860" w:rsidP="006F7B73">
            <w:pPr>
              <w:ind w:right="284"/>
              <w:jc w:val="right"/>
              <w:rPr>
                <w:rFonts w:ascii="Arial" w:hAnsi="Arial" w:cs="Arial"/>
              </w:rPr>
            </w:pPr>
            <w:r w:rsidRPr="00C96F1A">
              <w:rPr>
                <w:rFonts w:ascii="Arial" w:hAnsi="Arial" w:cs="Arial"/>
              </w:rPr>
              <w:t>2,011</w:t>
            </w:r>
          </w:p>
        </w:tc>
        <w:tc>
          <w:tcPr>
            <w:tcW w:w="2540" w:type="dxa"/>
            <w:shd w:val="clear" w:color="auto" w:fill="ECEBE8"/>
          </w:tcPr>
          <w:p w:rsidR="007A7860" w:rsidRPr="00C96F1A" w:rsidRDefault="007A7860" w:rsidP="006F7B73">
            <w:pPr>
              <w:ind w:right="284"/>
              <w:jc w:val="right"/>
              <w:rPr>
                <w:rFonts w:ascii="Arial" w:hAnsi="Arial" w:cs="Arial"/>
              </w:rPr>
            </w:pPr>
            <w:r w:rsidRPr="00C96F1A">
              <w:rPr>
                <w:rFonts w:ascii="Arial" w:hAnsi="Arial" w:cs="Arial"/>
              </w:rPr>
              <w:t>1,600</w:t>
            </w:r>
          </w:p>
        </w:tc>
        <w:tc>
          <w:tcPr>
            <w:tcW w:w="1641" w:type="dxa"/>
            <w:shd w:val="clear" w:color="auto" w:fill="ECEBE8"/>
          </w:tcPr>
          <w:p w:rsidR="007A7860" w:rsidRPr="00C96F1A" w:rsidRDefault="007A7860" w:rsidP="006F7B73">
            <w:pPr>
              <w:ind w:right="284"/>
              <w:jc w:val="right"/>
              <w:rPr>
                <w:rFonts w:ascii="Arial" w:hAnsi="Arial" w:cs="Arial"/>
              </w:rPr>
            </w:pPr>
            <w:r w:rsidRPr="00C96F1A">
              <w:rPr>
                <w:rFonts w:ascii="Arial" w:hAnsi="Arial" w:cs="Arial"/>
              </w:rPr>
              <w:t>1,319</w:t>
            </w:r>
          </w:p>
        </w:tc>
      </w:tr>
      <w:tr w:rsidR="007A7860" w:rsidRPr="00C96F1A" w:rsidTr="006F7B73">
        <w:trPr>
          <w:cantSplit/>
        </w:trPr>
        <w:tc>
          <w:tcPr>
            <w:tcW w:w="2977" w:type="dxa"/>
            <w:shd w:val="clear" w:color="auto" w:fill="F6F5F4"/>
          </w:tcPr>
          <w:p w:rsidR="007A7860" w:rsidRPr="007A7860" w:rsidRDefault="007A7860" w:rsidP="006F7B73">
            <w:pPr>
              <w:rPr>
                <w:rFonts w:ascii="Arial" w:hAnsi="Arial" w:cs="Arial"/>
                <w:b/>
              </w:rPr>
            </w:pPr>
            <w:r w:rsidRPr="007A7860">
              <w:rPr>
                <w:rFonts w:ascii="Arial" w:hAnsi="Arial" w:cs="Arial"/>
                <w:b/>
              </w:rPr>
              <w:t>In person</w:t>
            </w:r>
          </w:p>
        </w:tc>
        <w:tc>
          <w:tcPr>
            <w:tcW w:w="2093" w:type="dxa"/>
            <w:shd w:val="clear" w:color="auto" w:fill="F6F5F4"/>
          </w:tcPr>
          <w:p w:rsidR="007A7860" w:rsidRPr="00C96F1A" w:rsidRDefault="007A7860" w:rsidP="006F7B73">
            <w:pPr>
              <w:ind w:right="284"/>
              <w:jc w:val="right"/>
              <w:rPr>
                <w:rFonts w:ascii="Arial" w:hAnsi="Arial" w:cs="Arial"/>
              </w:rPr>
            </w:pPr>
            <w:r w:rsidRPr="00C96F1A">
              <w:rPr>
                <w:rFonts w:ascii="Arial" w:hAnsi="Arial" w:cs="Arial"/>
              </w:rPr>
              <w:t>1,547</w:t>
            </w:r>
          </w:p>
        </w:tc>
        <w:tc>
          <w:tcPr>
            <w:tcW w:w="2540" w:type="dxa"/>
            <w:shd w:val="clear" w:color="auto" w:fill="F6F5F4"/>
          </w:tcPr>
          <w:p w:rsidR="007A7860" w:rsidRPr="00C96F1A" w:rsidRDefault="007A7860" w:rsidP="006F7B73">
            <w:pPr>
              <w:ind w:right="284"/>
              <w:jc w:val="right"/>
              <w:rPr>
                <w:rFonts w:ascii="Arial" w:hAnsi="Arial" w:cs="Arial"/>
              </w:rPr>
            </w:pPr>
            <w:r w:rsidRPr="00C96F1A">
              <w:rPr>
                <w:rFonts w:ascii="Arial" w:hAnsi="Arial" w:cs="Arial"/>
              </w:rPr>
              <w:t>1,312</w:t>
            </w:r>
          </w:p>
        </w:tc>
        <w:tc>
          <w:tcPr>
            <w:tcW w:w="1641" w:type="dxa"/>
            <w:shd w:val="clear" w:color="auto" w:fill="F6F5F4"/>
          </w:tcPr>
          <w:p w:rsidR="007A7860" w:rsidRPr="00C96F1A" w:rsidRDefault="007A7860" w:rsidP="006F7B73">
            <w:pPr>
              <w:ind w:right="284"/>
              <w:jc w:val="right"/>
              <w:rPr>
                <w:rFonts w:ascii="Arial" w:hAnsi="Arial" w:cs="Arial"/>
              </w:rPr>
            </w:pPr>
            <w:r w:rsidRPr="00C96F1A">
              <w:rPr>
                <w:rFonts w:ascii="Arial" w:hAnsi="Arial" w:cs="Arial"/>
              </w:rPr>
              <w:t>479</w:t>
            </w:r>
          </w:p>
        </w:tc>
      </w:tr>
      <w:tr w:rsidR="007A7860" w:rsidRPr="00C96F1A" w:rsidTr="006F7B73">
        <w:trPr>
          <w:cantSplit/>
        </w:trPr>
        <w:tc>
          <w:tcPr>
            <w:tcW w:w="2977" w:type="dxa"/>
            <w:shd w:val="clear" w:color="auto" w:fill="ECEBE8"/>
          </w:tcPr>
          <w:p w:rsidR="007A7860" w:rsidRPr="007A7860" w:rsidRDefault="007A7860" w:rsidP="006F7B73">
            <w:pPr>
              <w:rPr>
                <w:rFonts w:ascii="Arial" w:hAnsi="Arial" w:cs="Arial"/>
                <w:b/>
              </w:rPr>
            </w:pPr>
            <w:r w:rsidRPr="007A7860">
              <w:rPr>
                <w:rFonts w:ascii="Arial" w:hAnsi="Arial" w:cs="Arial"/>
                <w:b/>
              </w:rPr>
              <w:t>By form</w:t>
            </w:r>
          </w:p>
        </w:tc>
        <w:tc>
          <w:tcPr>
            <w:tcW w:w="2093" w:type="dxa"/>
            <w:shd w:val="clear" w:color="auto" w:fill="ECEBE8"/>
          </w:tcPr>
          <w:p w:rsidR="007A7860" w:rsidRPr="00C96F1A" w:rsidRDefault="007A7860" w:rsidP="006F7B73">
            <w:pPr>
              <w:ind w:right="284"/>
              <w:jc w:val="right"/>
              <w:rPr>
                <w:rFonts w:ascii="Arial" w:hAnsi="Arial" w:cs="Arial"/>
              </w:rPr>
            </w:pPr>
            <w:r w:rsidRPr="00C96F1A">
              <w:rPr>
                <w:rFonts w:ascii="Arial" w:hAnsi="Arial" w:cs="Arial"/>
              </w:rPr>
              <w:t>6,534</w:t>
            </w:r>
          </w:p>
        </w:tc>
        <w:tc>
          <w:tcPr>
            <w:tcW w:w="2540" w:type="dxa"/>
            <w:shd w:val="clear" w:color="auto" w:fill="ECEBE8"/>
          </w:tcPr>
          <w:p w:rsidR="007A7860" w:rsidRPr="00C96F1A" w:rsidRDefault="007A7860" w:rsidP="006F7B73">
            <w:pPr>
              <w:ind w:right="284"/>
              <w:jc w:val="right"/>
              <w:rPr>
                <w:rFonts w:ascii="Arial" w:hAnsi="Arial" w:cs="Arial"/>
              </w:rPr>
            </w:pPr>
            <w:r w:rsidRPr="00C96F1A">
              <w:rPr>
                <w:rFonts w:ascii="Arial" w:hAnsi="Arial" w:cs="Arial"/>
              </w:rPr>
              <w:t>6,838</w:t>
            </w:r>
          </w:p>
        </w:tc>
        <w:tc>
          <w:tcPr>
            <w:tcW w:w="1641" w:type="dxa"/>
            <w:shd w:val="clear" w:color="auto" w:fill="ECEBE8"/>
          </w:tcPr>
          <w:p w:rsidR="007A7860" w:rsidRPr="00C96F1A" w:rsidRDefault="007A7860" w:rsidP="006F7B73">
            <w:pPr>
              <w:ind w:right="284"/>
              <w:jc w:val="right"/>
              <w:rPr>
                <w:rFonts w:ascii="Arial" w:hAnsi="Arial" w:cs="Arial"/>
              </w:rPr>
            </w:pPr>
            <w:r w:rsidRPr="00C96F1A">
              <w:rPr>
                <w:rFonts w:ascii="Arial" w:hAnsi="Arial" w:cs="Arial"/>
              </w:rPr>
              <w:t>1,045</w:t>
            </w:r>
          </w:p>
        </w:tc>
      </w:tr>
      <w:tr w:rsidR="007A7860" w:rsidRPr="00C96F1A" w:rsidTr="006F7B73">
        <w:trPr>
          <w:cantSplit/>
        </w:trPr>
        <w:tc>
          <w:tcPr>
            <w:tcW w:w="2977" w:type="dxa"/>
            <w:shd w:val="clear" w:color="auto" w:fill="F6F5F4"/>
          </w:tcPr>
          <w:p w:rsidR="007A7860" w:rsidRPr="007A7860" w:rsidRDefault="007A7860" w:rsidP="006F7B73">
            <w:pPr>
              <w:rPr>
                <w:rFonts w:ascii="Arial" w:hAnsi="Arial" w:cs="Arial"/>
                <w:b/>
              </w:rPr>
            </w:pPr>
            <w:r w:rsidRPr="007A7860">
              <w:rPr>
                <w:rFonts w:ascii="Arial" w:hAnsi="Arial" w:cs="Arial"/>
                <w:b/>
              </w:rPr>
              <w:t>By email</w:t>
            </w:r>
          </w:p>
        </w:tc>
        <w:tc>
          <w:tcPr>
            <w:tcW w:w="2093" w:type="dxa"/>
            <w:shd w:val="clear" w:color="auto" w:fill="F6F5F4"/>
          </w:tcPr>
          <w:p w:rsidR="007A7860" w:rsidRPr="00C96F1A" w:rsidRDefault="007A7860" w:rsidP="006F7B73">
            <w:pPr>
              <w:ind w:right="284"/>
              <w:jc w:val="right"/>
              <w:rPr>
                <w:rFonts w:ascii="Arial" w:hAnsi="Arial" w:cs="Arial"/>
              </w:rPr>
            </w:pPr>
            <w:r w:rsidRPr="00C96F1A">
              <w:rPr>
                <w:rFonts w:ascii="Arial" w:hAnsi="Arial" w:cs="Arial"/>
              </w:rPr>
              <w:t>21,419</w:t>
            </w:r>
          </w:p>
        </w:tc>
        <w:tc>
          <w:tcPr>
            <w:tcW w:w="2540" w:type="dxa"/>
            <w:shd w:val="clear" w:color="auto" w:fill="F6F5F4"/>
          </w:tcPr>
          <w:p w:rsidR="007A7860" w:rsidRPr="00C96F1A" w:rsidRDefault="007A7860" w:rsidP="006F7B73">
            <w:pPr>
              <w:ind w:right="284"/>
              <w:jc w:val="right"/>
              <w:rPr>
                <w:rFonts w:ascii="Arial" w:hAnsi="Arial" w:cs="Arial"/>
              </w:rPr>
            </w:pPr>
            <w:r w:rsidRPr="00C96F1A">
              <w:rPr>
                <w:rFonts w:ascii="Arial" w:hAnsi="Arial" w:cs="Arial"/>
              </w:rPr>
              <w:t>19,910</w:t>
            </w:r>
          </w:p>
        </w:tc>
        <w:tc>
          <w:tcPr>
            <w:tcW w:w="1641" w:type="dxa"/>
            <w:shd w:val="clear" w:color="auto" w:fill="F6F5F4"/>
          </w:tcPr>
          <w:p w:rsidR="007A7860" w:rsidRPr="00C96F1A" w:rsidRDefault="007A7860" w:rsidP="006F7B73">
            <w:pPr>
              <w:ind w:right="284"/>
              <w:jc w:val="right"/>
              <w:rPr>
                <w:rFonts w:ascii="Arial" w:hAnsi="Arial" w:cs="Arial"/>
              </w:rPr>
            </w:pPr>
            <w:r w:rsidRPr="00C96F1A">
              <w:rPr>
                <w:rFonts w:ascii="Arial" w:hAnsi="Arial" w:cs="Arial"/>
              </w:rPr>
              <w:t>15,394</w:t>
            </w:r>
          </w:p>
        </w:tc>
      </w:tr>
      <w:tr w:rsidR="007A7860" w:rsidRPr="00C96F1A" w:rsidTr="006F7B73">
        <w:trPr>
          <w:cantSplit/>
        </w:trPr>
        <w:tc>
          <w:tcPr>
            <w:tcW w:w="2977" w:type="dxa"/>
            <w:shd w:val="clear" w:color="auto" w:fill="ECEBE8"/>
          </w:tcPr>
          <w:p w:rsidR="007A7860" w:rsidRPr="007A7860" w:rsidRDefault="007A7860" w:rsidP="006F7B73">
            <w:pPr>
              <w:rPr>
                <w:rFonts w:ascii="Arial" w:hAnsi="Arial" w:cs="Arial"/>
                <w:b/>
              </w:rPr>
            </w:pPr>
            <w:r w:rsidRPr="007A7860">
              <w:rPr>
                <w:rFonts w:ascii="Arial" w:hAnsi="Arial" w:cs="Arial"/>
                <w:b/>
              </w:rPr>
              <w:t>By phone</w:t>
            </w:r>
          </w:p>
        </w:tc>
        <w:tc>
          <w:tcPr>
            <w:tcW w:w="2093" w:type="dxa"/>
            <w:shd w:val="clear" w:color="auto" w:fill="ECEBE8"/>
          </w:tcPr>
          <w:p w:rsidR="007A7860" w:rsidRPr="00C96F1A" w:rsidRDefault="007A7860" w:rsidP="006F7B73">
            <w:pPr>
              <w:ind w:right="284"/>
              <w:jc w:val="right"/>
              <w:rPr>
                <w:rFonts w:ascii="Arial" w:hAnsi="Arial" w:cs="Arial"/>
              </w:rPr>
            </w:pPr>
            <w:r w:rsidRPr="00C96F1A">
              <w:rPr>
                <w:rFonts w:ascii="Arial" w:hAnsi="Arial" w:cs="Arial"/>
              </w:rPr>
              <w:t>34,944</w:t>
            </w:r>
          </w:p>
        </w:tc>
        <w:tc>
          <w:tcPr>
            <w:tcW w:w="2540" w:type="dxa"/>
            <w:shd w:val="clear" w:color="auto" w:fill="ECEBE8"/>
          </w:tcPr>
          <w:p w:rsidR="007A7860" w:rsidRPr="00C96F1A" w:rsidRDefault="007A7860" w:rsidP="006F7B73">
            <w:pPr>
              <w:ind w:right="284"/>
              <w:jc w:val="right"/>
              <w:rPr>
                <w:rFonts w:ascii="Arial" w:hAnsi="Arial" w:cs="Arial"/>
              </w:rPr>
            </w:pPr>
            <w:r w:rsidRPr="00C96F1A">
              <w:rPr>
                <w:rFonts w:ascii="Arial" w:hAnsi="Arial" w:cs="Arial"/>
              </w:rPr>
              <w:t>27,657</w:t>
            </w:r>
          </w:p>
        </w:tc>
        <w:tc>
          <w:tcPr>
            <w:tcW w:w="1641" w:type="dxa"/>
            <w:shd w:val="clear" w:color="auto" w:fill="ECEBE8"/>
          </w:tcPr>
          <w:p w:rsidR="007A7860" w:rsidRPr="00C96F1A" w:rsidRDefault="007A7860" w:rsidP="006F7B73">
            <w:pPr>
              <w:ind w:right="284"/>
              <w:jc w:val="right"/>
              <w:rPr>
                <w:rFonts w:ascii="Arial" w:hAnsi="Arial" w:cs="Arial"/>
              </w:rPr>
            </w:pPr>
            <w:r w:rsidRPr="00C96F1A">
              <w:rPr>
                <w:rFonts w:ascii="Arial" w:hAnsi="Arial" w:cs="Arial"/>
              </w:rPr>
              <w:t>49,641</w:t>
            </w:r>
          </w:p>
        </w:tc>
      </w:tr>
      <w:tr w:rsidR="007A7860" w:rsidRPr="00C96F1A" w:rsidTr="006F7B73">
        <w:trPr>
          <w:cantSplit/>
        </w:trPr>
        <w:tc>
          <w:tcPr>
            <w:tcW w:w="2977" w:type="dxa"/>
            <w:shd w:val="clear" w:color="auto" w:fill="F6F5F4"/>
          </w:tcPr>
          <w:p w:rsidR="007A7860" w:rsidRPr="007A7860" w:rsidRDefault="007A7860" w:rsidP="006F7B73">
            <w:pPr>
              <w:rPr>
                <w:rFonts w:ascii="Arial" w:hAnsi="Arial" w:cs="Arial"/>
                <w:b/>
              </w:rPr>
            </w:pPr>
            <w:r w:rsidRPr="007A7860">
              <w:rPr>
                <w:rFonts w:ascii="Arial" w:hAnsi="Arial" w:cs="Arial"/>
                <w:b/>
              </w:rPr>
              <w:t>Total</w:t>
            </w:r>
          </w:p>
        </w:tc>
        <w:tc>
          <w:tcPr>
            <w:tcW w:w="2093" w:type="dxa"/>
            <w:shd w:val="clear" w:color="auto" w:fill="F6F5F4"/>
          </w:tcPr>
          <w:p w:rsidR="007A7860" w:rsidRPr="00C96F1A" w:rsidRDefault="007A7860" w:rsidP="006F7B73">
            <w:pPr>
              <w:ind w:right="284"/>
              <w:jc w:val="right"/>
              <w:rPr>
                <w:rFonts w:ascii="Arial" w:hAnsi="Arial" w:cs="Arial"/>
              </w:rPr>
            </w:pPr>
            <w:r w:rsidRPr="00C96F1A">
              <w:rPr>
                <w:rFonts w:ascii="Arial" w:hAnsi="Arial" w:cs="Arial"/>
              </w:rPr>
              <w:t>66,455</w:t>
            </w:r>
          </w:p>
        </w:tc>
        <w:tc>
          <w:tcPr>
            <w:tcW w:w="2540" w:type="dxa"/>
            <w:shd w:val="clear" w:color="auto" w:fill="F6F5F4"/>
          </w:tcPr>
          <w:p w:rsidR="007A7860" w:rsidRPr="00C96F1A" w:rsidRDefault="007A7860" w:rsidP="006F7B73">
            <w:pPr>
              <w:ind w:right="284"/>
              <w:jc w:val="right"/>
              <w:rPr>
                <w:rFonts w:ascii="Arial" w:hAnsi="Arial" w:cs="Arial"/>
              </w:rPr>
            </w:pPr>
            <w:r w:rsidRPr="00C96F1A">
              <w:rPr>
                <w:rFonts w:ascii="Arial" w:hAnsi="Arial" w:cs="Arial"/>
              </w:rPr>
              <w:t>57,317</w:t>
            </w:r>
          </w:p>
        </w:tc>
        <w:tc>
          <w:tcPr>
            <w:tcW w:w="1641" w:type="dxa"/>
            <w:shd w:val="clear" w:color="auto" w:fill="F6F5F4"/>
          </w:tcPr>
          <w:p w:rsidR="007A7860" w:rsidRPr="00C96F1A" w:rsidRDefault="007A7860" w:rsidP="006F7B73">
            <w:pPr>
              <w:ind w:right="284"/>
              <w:jc w:val="right"/>
              <w:rPr>
                <w:rFonts w:ascii="Arial" w:hAnsi="Arial" w:cs="Arial"/>
              </w:rPr>
            </w:pPr>
            <w:r w:rsidRPr="00C96F1A">
              <w:rPr>
                <w:rFonts w:ascii="Arial" w:hAnsi="Arial" w:cs="Arial"/>
              </w:rPr>
              <w:t>67,878</w:t>
            </w:r>
          </w:p>
        </w:tc>
      </w:tr>
    </w:tbl>
    <w:p w:rsidR="007A7860" w:rsidRPr="00C96F1A" w:rsidRDefault="007A7860" w:rsidP="00C96F1A">
      <w:pPr>
        <w:rPr>
          <w:rFonts w:ascii="Arial" w:hAnsi="Arial" w:cs="Arial"/>
        </w:rPr>
      </w:pPr>
    </w:p>
    <w:p w:rsidR="0028598A" w:rsidRPr="00C96F1A" w:rsidRDefault="00B625AF" w:rsidP="007A7860">
      <w:pPr>
        <w:pStyle w:val="Heading3"/>
      </w:pPr>
      <w:bookmarkStart w:id="77" w:name="_TOC_250004"/>
      <w:bookmarkStart w:id="78" w:name="EXTERNAL_REVIEWS_START"/>
      <w:bookmarkEnd w:id="77"/>
      <w:r w:rsidRPr="00C96F1A">
        <w:t xml:space="preserve">External </w:t>
      </w:r>
      <w:bookmarkEnd w:id="78"/>
      <w:r w:rsidRPr="00C96F1A">
        <w:t>Reviews</w:t>
      </w:r>
    </w:p>
    <w:p w:rsidR="0028598A" w:rsidRPr="007A7860" w:rsidRDefault="00B625AF" w:rsidP="00C96F1A">
      <w:pPr>
        <w:rPr>
          <w:rFonts w:ascii="Arial" w:hAnsi="Arial" w:cs="Arial"/>
          <w:b/>
        </w:rPr>
      </w:pPr>
      <w:r w:rsidRPr="007A7860">
        <w:rPr>
          <w:rFonts w:ascii="Arial" w:hAnsi="Arial" w:cs="Arial"/>
          <w:b/>
        </w:rPr>
        <w:t>Evaluation of Domestic and Family Violence 72-Hour Shelter and Mobile Support Services</w:t>
      </w:r>
    </w:p>
    <w:p w:rsidR="0028598A" w:rsidRPr="00CC4876" w:rsidRDefault="00B625AF" w:rsidP="00D806AE">
      <w:pPr>
        <w:pStyle w:val="ListParagraph"/>
        <w:numPr>
          <w:ilvl w:val="0"/>
          <w:numId w:val="39"/>
        </w:numPr>
        <w:rPr>
          <w:rFonts w:ascii="Arial" w:hAnsi="Arial" w:cs="Arial"/>
        </w:rPr>
      </w:pPr>
      <w:r w:rsidRPr="00CC4876">
        <w:rPr>
          <w:rFonts w:ascii="Arial" w:hAnsi="Arial" w:cs="Arial"/>
        </w:rPr>
        <w:t>The Shelter and Mobile Support Services were established in 2015 in response to Recommendation 84 of the ‘</w:t>
      </w:r>
      <w:r w:rsidRPr="00CC4876">
        <w:rPr>
          <w:rFonts w:ascii="Arial" w:hAnsi="Arial" w:cs="Arial"/>
          <w:i/>
        </w:rPr>
        <w:t>Not Now, Not Ever</w:t>
      </w:r>
      <w:r w:rsidRPr="00CC4876">
        <w:rPr>
          <w:rFonts w:ascii="Arial" w:hAnsi="Arial" w:cs="Arial"/>
        </w:rPr>
        <w:t>’ Report. An evaluation of the initiative was completed in February 2018.</w:t>
      </w:r>
    </w:p>
    <w:p w:rsidR="0028598A" w:rsidRPr="00CC4876" w:rsidRDefault="00B625AF" w:rsidP="00D806AE">
      <w:pPr>
        <w:pStyle w:val="ListParagraph"/>
        <w:numPr>
          <w:ilvl w:val="0"/>
          <w:numId w:val="39"/>
        </w:numPr>
        <w:rPr>
          <w:rFonts w:ascii="Arial" w:hAnsi="Arial" w:cs="Arial"/>
        </w:rPr>
      </w:pPr>
      <w:r w:rsidRPr="00CC4876">
        <w:rPr>
          <w:rFonts w:ascii="Arial" w:hAnsi="Arial" w:cs="Arial"/>
        </w:rPr>
        <w:t>The overarching finding of the evaluation was that the services addressed a need for housing support and increased the supported accommodation capacity in Brisbane and Townsville however did not deliver a distinct value over and above other crisis accommodation and support responses.</w:t>
      </w:r>
    </w:p>
    <w:p w:rsidR="0028598A" w:rsidRPr="00CC4876" w:rsidRDefault="00B625AF" w:rsidP="00D806AE">
      <w:pPr>
        <w:pStyle w:val="ListParagraph"/>
        <w:numPr>
          <w:ilvl w:val="0"/>
          <w:numId w:val="39"/>
        </w:numPr>
        <w:rPr>
          <w:rFonts w:ascii="Arial" w:hAnsi="Arial" w:cs="Arial"/>
        </w:rPr>
      </w:pPr>
      <w:r w:rsidRPr="00CC4876">
        <w:rPr>
          <w:rFonts w:ascii="Arial" w:hAnsi="Arial" w:cs="Arial"/>
        </w:rPr>
        <w:t>The delivery of mobile support was also found to be an efficient and effective way to support many women and children.</w:t>
      </w:r>
    </w:p>
    <w:p w:rsidR="0028598A" w:rsidRPr="00CC4876" w:rsidRDefault="00B625AF" w:rsidP="00D806AE">
      <w:pPr>
        <w:pStyle w:val="ListParagraph"/>
        <w:numPr>
          <w:ilvl w:val="0"/>
          <w:numId w:val="39"/>
        </w:numPr>
        <w:rPr>
          <w:rFonts w:ascii="Arial" w:hAnsi="Arial" w:cs="Arial"/>
        </w:rPr>
      </w:pPr>
      <w:r w:rsidRPr="00CC4876">
        <w:rPr>
          <w:rFonts w:ascii="Arial" w:hAnsi="Arial" w:cs="Arial"/>
        </w:rPr>
        <w:t>The evaluation found that the shelters meet contemporary design principles, in that they are accessible for people with disability, pet friendly, secure and private.</w:t>
      </w:r>
    </w:p>
    <w:p w:rsidR="0028598A" w:rsidRPr="00CC4876" w:rsidRDefault="00B625AF" w:rsidP="00D806AE">
      <w:pPr>
        <w:pStyle w:val="ListParagraph"/>
        <w:numPr>
          <w:ilvl w:val="0"/>
          <w:numId w:val="39"/>
        </w:numPr>
        <w:rPr>
          <w:rFonts w:ascii="Arial" w:hAnsi="Arial" w:cs="Arial"/>
        </w:rPr>
      </w:pPr>
      <w:r w:rsidRPr="00CC4876">
        <w:rPr>
          <w:rFonts w:ascii="Arial" w:hAnsi="Arial" w:cs="Arial"/>
        </w:rPr>
        <w:lastRenderedPageBreak/>
        <w:t xml:space="preserve">The evaluation highlighted the availability of appropriate longer-term housing options and support as a critical element to achieve positive outcomes for women experiencing homelessness. It is expected that key actions being delivered through the </w:t>
      </w:r>
      <w:r w:rsidRPr="00CC4876">
        <w:rPr>
          <w:rFonts w:ascii="Arial" w:hAnsi="Arial" w:cs="Arial"/>
          <w:i/>
        </w:rPr>
        <w:t>Queensland Housing Strategy 2017–202</w:t>
      </w:r>
      <w:r w:rsidRPr="00CC4876">
        <w:rPr>
          <w:rFonts w:ascii="Arial" w:hAnsi="Arial" w:cs="Arial"/>
        </w:rPr>
        <w:t>7 will deliver increased housing options for this cohort.</w:t>
      </w:r>
    </w:p>
    <w:p w:rsidR="0028598A" w:rsidRPr="00CC4876" w:rsidRDefault="00B625AF" w:rsidP="00D806AE">
      <w:pPr>
        <w:pStyle w:val="ListParagraph"/>
        <w:numPr>
          <w:ilvl w:val="0"/>
          <w:numId w:val="39"/>
        </w:numPr>
        <w:rPr>
          <w:rFonts w:ascii="Arial" w:hAnsi="Arial" w:cs="Arial"/>
        </w:rPr>
      </w:pPr>
      <w:r w:rsidRPr="00CC4876">
        <w:rPr>
          <w:rFonts w:ascii="Arial" w:hAnsi="Arial" w:cs="Arial"/>
        </w:rPr>
        <w:t xml:space="preserve">The evaluation has provided useful insights to inform policy and service delivery development and many of the learnings have been embedded into the design and delivery of new shelter </w:t>
      </w:r>
      <w:bookmarkStart w:id="79" w:name="EXTERNAL_REVIEWS_END"/>
      <w:r w:rsidRPr="00CC4876">
        <w:rPr>
          <w:rFonts w:ascii="Arial" w:hAnsi="Arial" w:cs="Arial"/>
        </w:rPr>
        <w:t>services</w:t>
      </w:r>
      <w:bookmarkEnd w:id="79"/>
      <w:r w:rsidRPr="00CC4876">
        <w:rPr>
          <w:rFonts w:ascii="Arial" w:hAnsi="Arial" w:cs="Arial"/>
        </w:rPr>
        <w:t>.</w:t>
      </w:r>
    </w:p>
    <w:p w:rsidR="0028598A" w:rsidRPr="00C96F1A" w:rsidRDefault="00B625AF" w:rsidP="00CC4876">
      <w:pPr>
        <w:pStyle w:val="Heading6"/>
      </w:pPr>
      <w:r w:rsidRPr="00C96F1A">
        <w:t>Payment Card Industry Data Security Standards (PCI DSS) review</w:t>
      </w:r>
    </w:p>
    <w:p w:rsidR="0028598A" w:rsidRPr="00C96F1A" w:rsidRDefault="00B625AF" w:rsidP="00C96F1A">
      <w:pPr>
        <w:rPr>
          <w:rFonts w:ascii="Arial" w:hAnsi="Arial" w:cs="Arial"/>
        </w:rPr>
      </w:pPr>
      <w:r w:rsidRPr="00C96F1A">
        <w:rPr>
          <w:rFonts w:ascii="Arial" w:hAnsi="Arial" w:cs="Arial"/>
        </w:rPr>
        <w:t>Payment Card Industry Data Security Standards (PCI DSS) review – as part of Smart Service Queensland’s ongoing Payment Card Industry (PCI) compliance requirements an annual independent review was conducted by Shearwater Solutions Pty Ltd (payment card industry specialist) in line with the current PCI DSS. The review confirmed Smart Service’s Contact Centre and Queensland Government Service Centres were PCI-compliant in July 2017. This was re-certified in May 2018.</w:t>
      </w:r>
    </w:p>
    <w:p w:rsidR="0028598A" w:rsidRPr="00C96F1A" w:rsidRDefault="00B625AF" w:rsidP="00CC4876">
      <w:pPr>
        <w:pStyle w:val="Heading6"/>
      </w:pPr>
      <w:r w:rsidRPr="00C96F1A">
        <w:t>Other reviews</w:t>
      </w:r>
    </w:p>
    <w:p w:rsidR="0028598A" w:rsidRPr="00C96F1A" w:rsidRDefault="00B625AF" w:rsidP="00C96F1A">
      <w:pPr>
        <w:rPr>
          <w:rFonts w:ascii="Arial" w:hAnsi="Arial" w:cs="Arial"/>
        </w:rPr>
      </w:pPr>
      <w:r w:rsidRPr="00C96F1A">
        <w:rPr>
          <w:rFonts w:ascii="Arial" w:hAnsi="Arial" w:cs="Arial"/>
        </w:rPr>
        <w:t>In 2017–18, the department was involved in several external reviews including:</w:t>
      </w:r>
    </w:p>
    <w:p w:rsidR="0028598A" w:rsidRPr="00CC4876" w:rsidRDefault="00B625AF" w:rsidP="00D806AE">
      <w:pPr>
        <w:pStyle w:val="ListParagraph"/>
        <w:numPr>
          <w:ilvl w:val="0"/>
          <w:numId w:val="40"/>
        </w:numPr>
        <w:rPr>
          <w:rFonts w:ascii="Arial" w:hAnsi="Arial" w:cs="Arial"/>
        </w:rPr>
      </w:pPr>
      <w:r w:rsidRPr="00CC4876">
        <w:rPr>
          <w:rFonts w:ascii="Arial" w:hAnsi="Arial" w:cs="Arial"/>
        </w:rPr>
        <w:t>ASAE 3402 Assurance audit of CITEC 2017–18. QAO assessed CITEC’s description of its internal controls over ICT infrastructure and related services as at 28 February 2018 and on the design of controls related to the control objectives stated in the description. QAO concluded that, in all material respects, CITEC’s description of its internal controls over ICT infrastructure and related services were suitably designed. Nine audit recommendations were made and agreed to by CITEC to strengthen internal controls.</w:t>
      </w:r>
    </w:p>
    <w:p w:rsidR="0028598A" w:rsidRPr="00CC4876" w:rsidRDefault="00B625AF" w:rsidP="00D806AE">
      <w:pPr>
        <w:pStyle w:val="ListParagraph"/>
        <w:numPr>
          <w:ilvl w:val="0"/>
          <w:numId w:val="40"/>
        </w:numPr>
        <w:rPr>
          <w:rFonts w:ascii="Arial" w:hAnsi="Arial" w:cs="Arial"/>
        </w:rPr>
      </w:pPr>
      <w:r w:rsidRPr="00CC4876">
        <w:rPr>
          <w:rFonts w:ascii="Arial" w:hAnsi="Arial" w:cs="Arial"/>
        </w:rPr>
        <w:t>ASAE 3402 Assurance Audit of Queensland Shared Services (QSS) 2017–18. QAO reported on QSS’ description of its account payable, payroll and general IT control systems</w:t>
      </w:r>
      <w:r w:rsidR="00CC4876" w:rsidRPr="00CC4876">
        <w:rPr>
          <w:rFonts w:ascii="Arial" w:hAnsi="Arial" w:cs="Arial"/>
        </w:rPr>
        <w:t xml:space="preserve"> </w:t>
      </w:r>
      <w:r w:rsidRPr="00CC4876">
        <w:rPr>
          <w:rFonts w:ascii="Arial" w:hAnsi="Arial" w:cs="Arial"/>
        </w:rPr>
        <w:t>for processing customers’ transactions from 1 July 2017 to 30 June 2018 and on the design and operation of controls related to the control objectives stated in the description. QAO concluded that, in all material respects, the QSS control objectives in the system descriptions were suitably designed and operated from 1 July 2017 to 30 June 2018. A total of nine audit recommendations were made and agreed to by QSS to strengthen internal controls.</w:t>
      </w:r>
    </w:p>
    <w:p w:rsidR="0028598A" w:rsidRPr="00C96F1A" w:rsidRDefault="00B625AF" w:rsidP="00D806AE">
      <w:pPr>
        <w:pStyle w:val="ListParagraph"/>
        <w:numPr>
          <w:ilvl w:val="0"/>
          <w:numId w:val="41"/>
        </w:numPr>
        <w:rPr>
          <w:rFonts w:ascii="Arial" w:hAnsi="Arial" w:cs="Arial"/>
        </w:rPr>
      </w:pPr>
      <w:r w:rsidRPr="00C96F1A">
        <w:rPr>
          <w:rFonts w:ascii="Arial" w:hAnsi="Arial" w:cs="Arial"/>
        </w:rPr>
        <w:t>Auditor-General of Queensland: Report to Parliament No. 11: 2017–18 – Queensland state government: 2016–17 results of financial audits: the department obtained an unmodified audit opinion on the 2016–17 financial statements.</w:t>
      </w:r>
    </w:p>
    <w:p w:rsidR="0028598A" w:rsidRPr="00C96F1A" w:rsidRDefault="00B625AF" w:rsidP="00D806AE">
      <w:pPr>
        <w:pStyle w:val="ListParagraph"/>
        <w:numPr>
          <w:ilvl w:val="0"/>
          <w:numId w:val="41"/>
        </w:numPr>
        <w:rPr>
          <w:rFonts w:ascii="Arial" w:hAnsi="Arial" w:cs="Arial"/>
        </w:rPr>
      </w:pPr>
      <w:r w:rsidRPr="00C96F1A">
        <w:rPr>
          <w:rFonts w:ascii="Arial" w:hAnsi="Arial" w:cs="Arial"/>
        </w:rPr>
        <w:t>Auditor-General of Queensland: Report to Parliament No.</w:t>
      </w:r>
      <w:r w:rsidR="00CC4876">
        <w:rPr>
          <w:rFonts w:ascii="Arial" w:hAnsi="Arial" w:cs="Arial"/>
        </w:rPr>
        <w:t xml:space="preserve"> </w:t>
      </w:r>
      <w:r w:rsidRPr="00C96F1A">
        <w:rPr>
          <w:rFonts w:ascii="Arial" w:hAnsi="Arial" w:cs="Arial"/>
        </w:rPr>
        <w:t>8: 2017–18 – Confidentiality and disclosure of government contracts. QAO made a total of four recommendations in relation to contract disclosure and the use of confidentiality provisions in government contracts in February 2018. To action the recommendations, the Office of the Chief Advisor</w:t>
      </w:r>
      <w:r w:rsidR="00CC4876">
        <w:rPr>
          <w:rFonts w:ascii="Arial" w:hAnsi="Arial" w:cs="Arial"/>
        </w:rPr>
        <w:t xml:space="preserve"> </w:t>
      </w:r>
      <w:r w:rsidRPr="00C96F1A">
        <w:rPr>
          <w:rFonts w:ascii="Arial" w:hAnsi="Arial" w:cs="Arial"/>
        </w:rPr>
        <w:t>– Procurement, released guidance for government agencies</w:t>
      </w:r>
      <w:r w:rsidR="00CC4876">
        <w:rPr>
          <w:rFonts w:ascii="Arial" w:hAnsi="Arial" w:cs="Arial"/>
        </w:rPr>
        <w:t xml:space="preserve"> </w:t>
      </w:r>
      <w:r w:rsidRPr="00C96F1A">
        <w:rPr>
          <w:rFonts w:ascii="Arial" w:hAnsi="Arial" w:cs="Arial"/>
        </w:rPr>
        <w:t>on the use and disclosure of confidentiality provisions in government contracts. Work also commenced on enhancements to the guidelines for contract disclosure.</w:t>
      </w:r>
    </w:p>
    <w:p w:rsidR="0028598A" w:rsidRPr="00C96F1A" w:rsidRDefault="00B625AF" w:rsidP="00C96F1A">
      <w:pPr>
        <w:rPr>
          <w:rFonts w:ascii="Arial" w:hAnsi="Arial" w:cs="Arial"/>
        </w:rPr>
      </w:pPr>
      <w:r w:rsidRPr="00C96F1A">
        <w:rPr>
          <w:rFonts w:ascii="Arial" w:hAnsi="Arial" w:cs="Arial"/>
        </w:rPr>
        <w:t>The department responds to recommendations made by</w:t>
      </w:r>
      <w:r w:rsidR="00CC4876">
        <w:rPr>
          <w:rFonts w:ascii="Arial" w:hAnsi="Arial" w:cs="Arial"/>
        </w:rPr>
        <w:t xml:space="preserve"> </w:t>
      </w:r>
      <w:r w:rsidRPr="00C96F1A">
        <w:rPr>
          <w:rFonts w:ascii="Arial" w:hAnsi="Arial" w:cs="Arial"/>
        </w:rPr>
        <w:t>Coroners in findings of inquests. In 2017–18, the department:</w:t>
      </w:r>
    </w:p>
    <w:p w:rsidR="0028598A" w:rsidRPr="00CC4876" w:rsidRDefault="00B625AF" w:rsidP="00D806AE">
      <w:pPr>
        <w:pStyle w:val="ListParagraph"/>
        <w:numPr>
          <w:ilvl w:val="0"/>
          <w:numId w:val="41"/>
        </w:numPr>
        <w:rPr>
          <w:rFonts w:ascii="Arial" w:hAnsi="Arial" w:cs="Arial"/>
        </w:rPr>
      </w:pPr>
      <w:r w:rsidRPr="00CC4876">
        <w:rPr>
          <w:rFonts w:ascii="Arial" w:hAnsi="Arial" w:cs="Arial"/>
        </w:rPr>
        <w:t>as sole agency, provided an implementation update for one recommendation from a 2014 inquest dealing with fire safety in farm stay accommodation</w:t>
      </w:r>
    </w:p>
    <w:p w:rsidR="0028598A" w:rsidRPr="00A673F5" w:rsidRDefault="00B625AF" w:rsidP="006F2791">
      <w:pPr>
        <w:pStyle w:val="ListParagraph"/>
        <w:numPr>
          <w:ilvl w:val="0"/>
          <w:numId w:val="41"/>
        </w:numPr>
        <w:rPr>
          <w:rFonts w:ascii="Arial" w:hAnsi="Arial" w:cs="Arial"/>
        </w:rPr>
      </w:pPr>
      <w:r w:rsidRPr="00A673F5">
        <w:rPr>
          <w:rFonts w:ascii="Arial" w:hAnsi="Arial" w:cs="Arial"/>
        </w:rPr>
        <w:t xml:space="preserve">as lead agency, finalised reporting for one recommendation from a 2015 inquest relating to electrocution by passing legislative amendments to the </w:t>
      </w:r>
      <w:r w:rsidRPr="00A673F5">
        <w:rPr>
          <w:rFonts w:ascii="Arial" w:hAnsi="Arial" w:cs="Arial"/>
          <w:i/>
        </w:rPr>
        <w:t>Queensland Building and Construction Commission Act 1991</w:t>
      </w:r>
      <w:r w:rsidRPr="00A673F5">
        <w:rPr>
          <w:rFonts w:ascii="Arial" w:hAnsi="Arial" w:cs="Arial"/>
        </w:rPr>
        <w:t xml:space="preserve"> in Parliament on 24 August 2017 which addressed the issues raised by the Coroner</w:t>
      </w:r>
      <w:r w:rsidR="00A673F5" w:rsidRPr="00A673F5">
        <w:rPr>
          <w:rFonts w:ascii="Arial" w:hAnsi="Arial" w:cs="Arial"/>
        </w:rPr>
        <w:t xml:space="preserve"> </w:t>
      </w:r>
      <w:r w:rsidRPr="00A673F5">
        <w:rPr>
          <w:rFonts w:ascii="Arial" w:hAnsi="Arial" w:cs="Arial"/>
        </w:rPr>
        <w:t>finalised reporting for a recommendation from a 2016</w:t>
      </w:r>
      <w:r w:rsidR="00CC4876" w:rsidRPr="00A673F5">
        <w:rPr>
          <w:rFonts w:ascii="Arial" w:hAnsi="Arial" w:cs="Arial"/>
        </w:rPr>
        <w:t xml:space="preserve"> </w:t>
      </w:r>
      <w:r w:rsidRPr="00A673F5">
        <w:rPr>
          <w:rFonts w:ascii="Arial" w:hAnsi="Arial" w:cs="Arial"/>
        </w:rPr>
        <w:t>inquest regarding pool safety</w:t>
      </w:r>
    </w:p>
    <w:p w:rsidR="0028598A" w:rsidRPr="00C96F1A" w:rsidRDefault="00B625AF" w:rsidP="00D806AE">
      <w:pPr>
        <w:pStyle w:val="ListParagraph"/>
        <w:numPr>
          <w:ilvl w:val="0"/>
          <w:numId w:val="41"/>
        </w:numPr>
        <w:rPr>
          <w:rFonts w:ascii="Arial" w:hAnsi="Arial" w:cs="Arial"/>
        </w:rPr>
      </w:pPr>
      <w:r w:rsidRPr="00C96F1A">
        <w:rPr>
          <w:rFonts w:ascii="Arial" w:hAnsi="Arial" w:cs="Arial"/>
        </w:rPr>
        <w:lastRenderedPageBreak/>
        <w:t>responded to four recommendations from a 2016 inquest relevant to building industry inspections and standards (relating to awnings) – as supporting agency provided an initial joint response with another department on three recommendations and as sole agency provided an initial response to a fourth recommendation</w:t>
      </w:r>
    </w:p>
    <w:p w:rsidR="0028598A" w:rsidRPr="00CC4876" w:rsidRDefault="00B625AF" w:rsidP="00D806AE">
      <w:pPr>
        <w:pStyle w:val="ListParagraph"/>
        <w:numPr>
          <w:ilvl w:val="0"/>
          <w:numId w:val="41"/>
        </w:numPr>
        <w:rPr>
          <w:rFonts w:ascii="Arial" w:hAnsi="Arial" w:cs="Arial"/>
        </w:rPr>
      </w:pPr>
      <w:r w:rsidRPr="00CC4876">
        <w:rPr>
          <w:rFonts w:ascii="Arial" w:hAnsi="Arial" w:cs="Arial"/>
        </w:rPr>
        <w:t>responded to requirements for information in two coronial investigations where the deaths concerned occurred in a public housing property and a women’s shelter respectively.</w:t>
      </w:r>
    </w:p>
    <w:p w:rsidR="0028598A" w:rsidRPr="00C96F1A" w:rsidRDefault="00B625AF" w:rsidP="00CC4876">
      <w:pPr>
        <w:pStyle w:val="Heading3"/>
      </w:pPr>
      <w:r w:rsidRPr="00C96F1A">
        <w:t>Whole-of-government plans</w:t>
      </w:r>
      <w:r w:rsidR="00CC4876">
        <w:t xml:space="preserve"> </w:t>
      </w:r>
      <w:r w:rsidRPr="00C96F1A">
        <w:t xml:space="preserve">and </w:t>
      </w:r>
      <w:bookmarkStart w:id="80" w:name="SPECIFIC_INITIATIVES"/>
      <w:r w:rsidRPr="00C96F1A">
        <w:t xml:space="preserve">specific </w:t>
      </w:r>
      <w:bookmarkEnd w:id="80"/>
      <w:r w:rsidRPr="00C96F1A">
        <w:t>initiatives</w:t>
      </w:r>
    </w:p>
    <w:p w:rsidR="0028598A" w:rsidRPr="00C96F1A" w:rsidRDefault="00B625AF" w:rsidP="00C96F1A">
      <w:pPr>
        <w:rPr>
          <w:rFonts w:ascii="Arial" w:hAnsi="Arial" w:cs="Arial"/>
        </w:rPr>
      </w:pPr>
      <w:r w:rsidRPr="00C96F1A">
        <w:rPr>
          <w:rFonts w:ascii="Arial" w:hAnsi="Arial" w:cs="Arial"/>
        </w:rPr>
        <w:t>We have a number of whole-of-government and specific purpose</w:t>
      </w:r>
    </w:p>
    <w:p w:rsidR="0028598A" w:rsidRPr="00C96F1A" w:rsidRDefault="00B625AF" w:rsidP="00C96F1A">
      <w:pPr>
        <w:rPr>
          <w:rFonts w:ascii="Arial" w:hAnsi="Arial" w:cs="Arial"/>
        </w:rPr>
      </w:pPr>
      <w:r w:rsidRPr="00C96F1A">
        <w:rPr>
          <w:rFonts w:ascii="Arial" w:hAnsi="Arial" w:cs="Arial"/>
        </w:rPr>
        <w:t>plans including:</w:t>
      </w:r>
    </w:p>
    <w:p w:rsidR="0028598A" w:rsidRPr="00CC4876" w:rsidRDefault="00B625AF" w:rsidP="00D806AE">
      <w:pPr>
        <w:pStyle w:val="ListParagraph"/>
        <w:numPr>
          <w:ilvl w:val="0"/>
          <w:numId w:val="42"/>
        </w:numPr>
        <w:rPr>
          <w:rFonts w:ascii="Arial" w:hAnsi="Arial" w:cs="Arial"/>
          <w:i/>
        </w:rPr>
      </w:pPr>
      <w:r w:rsidRPr="00CC4876">
        <w:rPr>
          <w:rFonts w:ascii="Arial" w:hAnsi="Arial" w:cs="Arial"/>
          <w:i/>
        </w:rPr>
        <w:t>Aboriginal and Torres Strait Islander Advancement Strategy and Action Plan 2017–20</w:t>
      </w:r>
    </w:p>
    <w:p w:rsidR="0028598A" w:rsidRPr="00CC4876" w:rsidRDefault="00B625AF" w:rsidP="00D806AE">
      <w:pPr>
        <w:pStyle w:val="ListParagraph"/>
        <w:numPr>
          <w:ilvl w:val="0"/>
          <w:numId w:val="42"/>
        </w:numPr>
        <w:rPr>
          <w:rFonts w:ascii="Arial" w:hAnsi="Arial" w:cs="Arial"/>
        </w:rPr>
      </w:pPr>
      <w:r w:rsidRPr="00CC4876">
        <w:rPr>
          <w:rFonts w:ascii="Arial" w:hAnsi="Arial" w:cs="Arial"/>
        </w:rPr>
        <w:t>ICT Disaster Recovery Plan</w:t>
      </w:r>
    </w:p>
    <w:p w:rsidR="0028598A" w:rsidRPr="00CC4876" w:rsidRDefault="00B625AF" w:rsidP="00D806AE">
      <w:pPr>
        <w:pStyle w:val="ListParagraph"/>
        <w:numPr>
          <w:ilvl w:val="0"/>
          <w:numId w:val="42"/>
        </w:numPr>
        <w:rPr>
          <w:rFonts w:ascii="Arial" w:hAnsi="Arial" w:cs="Arial"/>
          <w:i/>
        </w:rPr>
      </w:pPr>
      <w:r w:rsidRPr="00CC4876">
        <w:rPr>
          <w:rFonts w:ascii="Arial" w:hAnsi="Arial" w:cs="Arial"/>
          <w:i/>
        </w:rPr>
        <w:t>People and Culture Strategy 2016–20</w:t>
      </w:r>
    </w:p>
    <w:p w:rsidR="0028598A" w:rsidRPr="00CC4876" w:rsidRDefault="00B625AF" w:rsidP="00D806AE">
      <w:pPr>
        <w:pStyle w:val="ListParagraph"/>
        <w:numPr>
          <w:ilvl w:val="0"/>
          <w:numId w:val="42"/>
        </w:numPr>
        <w:rPr>
          <w:rFonts w:ascii="Arial" w:hAnsi="Arial" w:cs="Arial"/>
          <w:i/>
        </w:rPr>
      </w:pPr>
      <w:r w:rsidRPr="00CC4876">
        <w:rPr>
          <w:rFonts w:ascii="Arial" w:hAnsi="Arial" w:cs="Arial"/>
          <w:i/>
        </w:rPr>
        <w:t>HPW Inclusion and Diversity Plan 2015–20, which includes:</w:t>
      </w:r>
    </w:p>
    <w:p w:rsidR="0028598A" w:rsidRPr="00CC4876" w:rsidRDefault="00B625AF" w:rsidP="00D806AE">
      <w:pPr>
        <w:pStyle w:val="ListParagraph"/>
        <w:numPr>
          <w:ilvl w:val="0"/>
          <w:numId w:val="43"/>
        </w:numPr>
        <w:rPr>
          <w:rFonts w:ascii="Arial" w:hAnsi="Arial" w:cs="Arial"/>
        </w:rPr>
      </w:pPr>
      <w:r w:rsidRPr="00CC4876">
        <w:rPr>
          <w:rFonts w:ascii="Arial" w:hAnsi="Arial" w:cs="Arial"/>
        </w:rPr>
        <w:t>Multicultural Action Plan</w:t>
      </w:r>
    </w:p>
    <w:p w:rsidR="0028598A" w:rsidRPr="00CC4876" w:rsidRDefault="00B625AF" w:rsidP="00D806AE">
      <w:pPr>
        <w:pStyle w:val="ListParagraph"/>
        <w:numPr>
          <w:ilvl w:val="0"/>
          <w:numId w:val="43"/>
        </w:numPr>
        <w:rPr>
          <w:rFonts w:ascii="Arial" w:hAnsi="Arial" w:cs="Arial"/>
        </w:rPr>
      </w:pPr>
      <w:r w:rsidRPr="00CC4876">
        <w:rPr>
          <w:rFonts w:ascii="Arial" w:hAnsi="Arial" w:cs="Arial"/>
        </w:rPr>
        <w:t>Disability Services Plan</w:t>
      </w:r>
    </w:p>
    <w:p w:rsidR="0028598A" w:rsidRPr="00CC4876" w:rsidRDefault="00B625AF" w:rsidP="00D806AE">
      <w:pPr>
        <w:pStyle w:val="ListParagraph"/>
        <w:numPr>
          <w:ilvl w:val="0"/>
          <w:numId w:val="43"/>
        </w:numPr>
        <w:rPr>
          <w:rFonts w:ascii="Arial" w:hAnsi="Arial" w:cs="Arial"/>
        </w:rPr>
      </w:pPr>
      <w:r w:rsidRPr="00CC4876">
        <w:rPr>
          <w:rFonts w:ascii="Arial" w:hAnsi="Arial" w:cs="Arial"/>
        </w:rPr>
        <w:t>Cultural Capability Action Plan</w:t>
      </w:r>
    </w:p>
    <w:p w:rsidR="0028598A" w:rsidRPr="00CC4876" w:rsidRDefault="00B625AF" w:rsidP="00D806AE">
      <w:pPr>
        <w:pStyle w:val="ListParagraph"/>
        <w:numPr>
          <w:ilvl w:val="0"/>
          <w:numId w:val="42"/>
        </w:numPr>
        <w:rPr>
          <w:rFonts w:ascii="Arial" w:hAnsi="Arial" w:cs="Arial"/>
          <w:i/>
        </w:rPr>
      </w:pPr>
      <w:r w:rsidRPr="00CC4876">
        <w:rPr>
          <w:rFonts w:ascii="Arial" w:hAnsi="Arial" w:cs="Arial"/>
          <w:i/>
        </w:rPr>
        <w:t>Healthy and Safe Workforce Action Plan 2018–20</w:t>
      </w:r>
    </w:p>
    <w:p w:rsidR="0028598A" w:rsidRPr="00CC4876" w:rsidRDefault="00B625AF" w:rsidP="00D806AE">
      <w:pPr>
        <w:pStyle w:val="ListParagraph"/>
        <w:numPr>
          <w:ilvl w:val="0"/>
          <w:numId w:val="42"/>
        </w:numPr>
        <w:rPr>
          <w:rFonts w:ascii="Arial" w:hAnsi="Arial" w:cs="Arial"/>
          <w:i/>
        </w:rPr>
      </w:pPr>
      <w:r w:rsidRPr="00CC4876">
        <w:rPr>
          <w:rFonts w:ascii="Arial" w:hAnsi="Arial" w:cs="Arial"/>
          <w:i/>
        </w:rPr>
        <w:t>Strategic Internal Audit Plan 2017–18</w:t>
      </w:r>
    </w:p>
    <w:p w:rsidR="0028598A" w:rsidRPr="00CC4876" w:rsidRDefault="00B625AF" w:rsidP="00D806AE">
      <w:pPr>
        <w:pStyle w:val="ListParagraph"/>
        <w:numPr>
          <w:ilvl w:val="0"/>
          <w:numId w:val="42"/>
        </w:numPr>
        <w:rPr>
          <w:rFonts w:ascii="Arial" w:hAnsi="Arial" w:cs="Arial"/>
        </w:rPr>
      </w:pPr>
      <w:r w:rsidRPr="00CC4876">
        <w:rPr>
          <w:rFonts w:ascii="Arial" w:hAnsi="Arial" w:cs="Arial"/>
        </w:rPr>
        <w:t>Fraud and Corruption Control Plan</w:t>
      </w:r>
    </w:p>
    <w:p w:rsidR="0028598A" w:rsidRPr="00CC4876" w:rsidRDefault="00B625AF" w:rsidP="00D806AE">
      <w:pPr>
        <w:pStyle w:val="ListParagraph"/>
        <w:numPr>
          <w:ilvl w:val="0"/>
          <w:numId w:val="42"/>
        </w:numPr>
        <w:rPr>
          <w:rFonts w:ascii="Arial" w:hAnsi="Arial" w:cs="Arial"/>
        </w:rPr>
      </w:pPr>
      <w:r w:rsidRPr="00CC4876">
        <w:rPr>
          <w:rFonts w:ascii="Arial" w:hAnsi="Arial" w:cs="Arial"/>
        </w:rPr>
        <w:t>ICT Work Plan</w:t>
      </w:r>
    </w:p>
    <w:p w:rsidR="0028598A" w:rsidRPr="00CC4876" w:rsidRDefault="00B625AF" w:rsidP="00D806AE">
      <w:pPr>
        <w:pStyle w:val="ListParagraph"/>
        <w:numPr>
          <w:ilvl w:val="0"/>
          <w:numId w:val="42"/>
        </w:numPr>
        <w:rPr>
          <w:rFonts w:ascii="Arial" w:hAnsi="Arial" w:cs="Arial"/>
          <w:i/>
        </w:rPr>
      </w:pPr>
      <w:r w:rsidRPr="00CC4876">
        <w:rPr>
          <w:rFonts w:ascii="Arial" w:hAnsi="Arial" w:cs="Arial"/>
          <w:i/>
        </w:rPr>
        <w:t>HPW Waste Reduction and Recycling Plan 2017–20</w:t>
      </w:r>
    </w:p>
    <w:p w:rsidR="0028598A" w:rsidRPr="00CC4876" w:rsidRDefault="00B625AF" w:rsidP="00D806AE">
      <w:pPr>
        <w:pStyle w:val="ListParagraph"/>
        <w:numPr>
          <w:ilvl w:val="0"/>
          <w:numId w:val="42"/>
        </w:numPr>
        <w:rPr>
          <w:rFonts w:ascii="Arial" w:hAnsi="Arial" w:cs="Arial"/>
          <w:i/>
        </w:rPr>
      </w:pPr>
      <w:r w:rsidRPr="00CC4876">
        <w:rPr>
          <w:rFonts w:ascii="Arial" w:hAnsi="Arial" w:cs="Arial"/>
          <w:i/>
        </w:rPr>
        <w:t>Open Data Action Plan 2017–19</w:t>
      </w:r>
    </w:p>
    <w:p w:rsidR="0028598A" w:rsidRPr="00CC4876" w:rsidRDefault="00B625AF" w:rsidP="00D806AE">
      <w:pPr>
        <w:pStyle w:val="ListParagraph"/>
        <w:numPr>
          <w:ilvl w:val="0"/>
          <w:numId w:val="42"/>
        </w:numPr>
        <w:rPr>
          <w:rFonts w:ascii="Arial" w:hAnsi="Arial" w:cs="Arial"/>
        </w:rPr>
      </w:pPr>
      <w:r w:rsidRPr="00CC4876">
        <w:rPr>
          <w:rFonts w:ascii="Arial" w:hAnsi="Arial" w:cs="Arial"/>
        </w:rPr>
        <w:t>Disaster Management Plan</w:t>
      </w:r>
    </w:p>
    <w:p w:rsidR="0028598A" w:rsidRPr="00CC4876" w:rsidRDefault="00B625AF" w:rsidP="00D806AE">
      <w:pPr>
        <w:pStyle w:val="ListParagraph"/>
        <w:numPr>
          <w:ilvl w:val="0"/>
          <w:numId w:val="42"/>
        </w:numPr>
        <w:rPr>
          <w:rFonts w:ascii="Arial" w:hAnsi="Arial" w:cs="Arial"/>
          <w:i/>
        </w:rPr>
      </w:pPr>
      <w:r w:rsidRPr="00CC4876">
        <w:rPr>
          <w:rFonts w:ascii="Arial" w:hAnsi="Arial" w:cs="Arial"/>
          <w:i/>
        </w:rPr>
        <w:t>Queensland Government Enterprise Architecture (QGEA)</w:t>
      </w:r>
    </w:p>
    <w:p w:rsidR="0028598A" w:rsidRPr="00CC4876" w:rsidRDefault="00B625AF" w:rsidP="00D806AE">
      <w:pPr>
        <w:pStyle w:val="ListParagraph"/>
        <w:numPr>
          <w:ilvl w:val="0"/>
          <w:numId w:val="42"/>
        </w:numPr>
        <w:rPr>
          <w:rFonts w:ascii="Arial" w:hAnsi="Arial" w:cs="Arial"/>
          <w:i/>
        </w:rPr>
      </w:pPr>
      <w:r w:rsidRPr="00CC4876">
        <w:rPr>
          <w:rFonts w:ascii="Arial" w:hAnsi="Arial" w:cs="Arial"/>
          <w:i/>
        </w:rPr>
        <w:t>Queensland Housing Strategy 2017–27</w:t>
      </w:r>
    </w:p>
    <w:p w:rsidR="0028598A" w:rsidRPr="00CC4876" w:rsidRDefault="00B625AF" w:rsidP="00D806AE">
      <w:pPr>
        <w:pStyle w:val="ListParagraph"/>
        <w:numPr>
          <w:ilvl w:val="0"/>
          <w:numId w:val="42"/>
        </w:numPr>
        <w:rPr>
          <w:rFonts w:ascii="Arial" w:hAnsi="Arial" w:cs="Arial"/>
          <w:i/>
        </w:rPr>
      </w:pPr>
      <w:r w:rsidRPr="00CC4876">
        <w:rPr>
          <w:rFonts w:ascii="Arial" w:hAnsi="Arial" w:cs="Arial"/>
          <w:i/>
        </w:rPr>
        <w:t>Digital 1st: Advancing our Digital Future 2017–21</w:t>
      </w:r>
    </w:p>
    <w:p w:rsidR="0028598A" w:rsidRPr="00CC4876" w:rsidRDefault="00B625AF" w:rsidP="00D806AE">
      <w:pPr>
        <w:pStyle w:val="ListParagraph"/>
        <w:numPr>
          <w:ilvl w:val="0"/>
          <w:numId w:val="42"/>
        </w:numPr>
        <w:rPr>
          <w:rFonts w:ascii="Arial" w:hAnsi="Arial" w:cs="Arial"/>
          <w:i/>
        </w:rPr>
      </w:pPr>
      <w:r w:rsidRPr="00CC4876">
        <w:rPr>
          <w:rFonts w:ascii="Arial" w:hAnsi="Arial" w:cs="Arial"/>
          <w:i/>
        </w:rPr>
        <w:t>One-Stop Shop Plan 2013–18</w:t>
      </w:r>
    </w:p>
    <w:p w:rsidR="0028598A" w:rsidRPr="00CC4876" w:rsidRDefault="00B625AF" w:rsidP="00D806AE">
      <w:pPr>
        <w:pStyle w:val="ListParagraph"/>
        <w:numPr>
          <w:ilvl w:val="0"/>
          <w:numId w:val="42"/>
        </w:numPr>
        <w:rPr>
          <w:rFonts w:ascii="Arial" w:hAnsi="Arial" w:cs="Arial"/>
        </w:rPr>
      </w:pPr>
      <w:r w:rsidRPr="00CC4876">
        <w:rPr>
          <w:rFonts w:ascii="Arial" w:hAnsi="Arial" w:cs="Arial"/>
        </w:rPr>
        <w:t>IT Graduate Program</w:t>
      </w:r>
    </w:p>
    <w:p w:rsidR="0028598A" w:rsidRPr="00CC4876" w:rsidRDefault="00B625AF" w:rsidP="00D806AE">
      <w:pPr>
        <w:pStyle w:val="ListParagraph"/>
        <w:numPr>
          <w:ilvl w:val="0"/>
          <w:numId w:val="42"/>
        </w:numPr>
        <w:rPr>
          <w:rFonts w:ascii="Arial" w:hAnsi="Arial" w:cs="Arial"/>
        </w:rPr>
      </w:pPr>
      <w:r w:rsidRPr="00CC4876">
        <w:rPr>
          <w:rFonts w:ascii="Arial" w:hAnsi="Arial" w:cs="Arial"/>
        </w:rPr>
        <w:t>Queensland Building Plan</w:t>
      </w:r>
    </w:p>
    <w:p w:rsidR="0028598A" w:rsidRPr="00CC4876" w:rsidRDefault="00B625AF" w:rsidP="00D806AE">
      <w:pPr>
        <w:pStyle w:val="ListParagraph"/>
        <w:numPr>
          <w:ilvl w:val="0"/>
          <w:numId w:val="42"/>
        </w:numPr>
        <w:rPr>
          <w:rFonts w:ascii="Arial" w:hAnsi="Arial" w:cs="Arial"/>
        </w:rPr>
      </w:pPr>
      <w:r w:rsidRPr="00CC4876">
        <w:rPr>
          <w:rFonts w:ascii="Arial" w:hAnsi="Arial" w:cs="Arial"/>
        </w:rPr>
        <w:t>Queensland Government Procurement Plan</w:t>
      </w:r>
    </w:p>
    <w:p w:rsidR="0028598A" w:rsidRPr="00C96F1A" w:rsidRDefault="00B625AF" w:rsidP="00CC4876">
      <w:pPr>
        <w:pStyle w:val="Heading6"/>
      </w:pPr>
      <w:r w:rsidRPr="00C96F1A">
        <w:t>Specific initiatives</w:t>
      </w:r>
    </w:p>
    <w:p w:rsidR="0028598A" w:rsidRPr="00C96F1A" w:rsidRDefault="00B625AF" w:rsidP="00C96F1A">
      <w:pPr>
        <w:rPr>
          <w:rFonts w:ascii="Arial" w:hAnsi="Arial" w:cs="Arial"/>
        </w:rPr>
      </w:pPr>
      <w:r w:rsidRPr="00C96F1A">
        <w:rPr>
          <w:rFonts w:ascii="Arial" w:hAnsi="Arial" w:cs="Arial"/>
        </w:rPr>
        <w:t>Our department is committed to building policy capability through participation in the whole-of-government Policy Futures Graduate Program. The aim of developing high-performing, outcomes-focused policy professionals is achieved by providing graduates a unique opportunity to undertake placements in three agencies over two years, including a 12-month learning and development program.</w:t>
      </w:r>
    </w:p>
    <w:p w:rsidR="0028598A" w:rsidRPr="00C96F1A" w:rsidRDefault="00B625AF" w:rsidP="00C96F1A">
      <w:pPr>
        <w:rPr>
          <w:rFonts w:ascii="Arial" w:hAnsi="Arial" w:cs="Arial"/>
        </w:rPr>
      </w:pPr>
      <w:r w:rsidRPr="00C96F1A">
        <w:rPr>
          <w:rFonts w:ascii="Arial" w:hAnsi="Arial" w:cs="Arial"/>
        </w:rPr>
        <w:t xml:space="preserve">We are committed to a workforce geared for the digital future through our participation in the Queensland Government IT Graduate Program. The program is designed to complement the </w:t>
      </w:r>
      <w:r w:rsidRPr="00C96F1A">
        <w:rPr>
          <w:rFonts w:ascii="Arial" w:hAnsi="Arial" w:cs="Arial"/>
        </w:rPr>
        <w:lastRenderedPageBreak/>
        <w:t>department’s existing workforce strategy by meeting the specific skill shortages in IT roles and developing skills in the areas needed most.</w:t>
      </w:r>
    </w:p>
    <w:p w:rsidR="0028598A" w:rsidRPr="00C96F1A" w:rsidRDefault="00B625AF" w:rsidP="00C96F1A">
      <w:pPr>
        <w:rPr>
          <w:rFonts w:ascii="Arial" w:hAnsi="Arial" w:cs="Arial"/>
        </w:rPr>
      </w:pPr>
      <w:r w:rsidRPr="00C96F1A">
        <w:rPr>
          <w:rFonts w:ascii="Arial" w:hAnsi="Arial" w:cs="Arial"/>
        </w:rPr>
        <w:t xml:space="preserve">We released the </w:t>
      </w:r>
      <w:r w:rsidRPr="00A673F5">
        <w:rPr>
          <w:rFonts w:ascii="Arial" w:hAnsi="Arial" w:cs="Arial"/>
          <w:i/>
        </w:rPr>
        <w:t>Queensland Building Plan</w:t>
      </w:r>
      <w:r w:rsidRPr="00C96F1A">
        <w:rPr>
          <w:rFonts w:ascii="Arial" w:hAnsi="Arial" w:cs="Arial"/>
        </w:rPr>
        <w:t xml:space="preserve"> a blueprint that sets the Government’s long-term strategic direction to deliver a safer, fairer, more sustainable building and construction industry.</w:t>
      </w:r>
    </w:p>
    <w:p w:rsidR="0028598A" w:rsidRPr="00C96F1A" w:rsidRDefault="00B625AF" w:rsidP="00C96F1A">
      <w:pPr>
        <w:rPr>
          <w:rFonts w:ascii="Arial" w:hAnsi="Arial" w:cs="Arial"/>
        </w:rPr>
      </w:pPr>
      <w:r w:rsidRPr="00C96F1A">
        <w:rPr>
          <w:rFonts w:ascii="Arial" w:hAnsi="Arial" w:cs="Arial"/>
        </w:rPr>
        <w:t>The department continued to work closely with the Department of State Development, Manufacturing, Infrastructure, and Planning and other key built infrastructure asset owning agencies to develop the Building Information Modelling (BIM) draft policy and principles for Queensland. This will support the state’s initiative to progressively implement the use of BIM on all major building and construction infrastructure projects by 2023.</w:t>
      </w:r>
    </w:p>
    <w:p w:rsidR="0028598A" w:rsidRPr="00C96F1A" w:rsidRDefault="00B625AF" w:rsidP="00CC4876">
      <w:pPr>
        <w:pStyle w:val="Heading3"/>
      </w:pPr>
      <w:r w:rsidRPr="00C96F1A">
        <w:t>National Agreements and National Partnership Agreements</w:t>
      </w:r>
    </w:p>
    <w:p w:rsidR="0028598A" w:rsidRPr="00C96F1A" w:rsidRDefault="00B625AF" w:rsidP="00C96F1A">
      <w:pPr>
        <w:rPr>
          <w:rFonts w:ascii="Arial" w:hAnsi="Arial" w:cs="Arial"/>
        </w:rPr>
      </w:pPr>
      <w:r w:rsidRPr="00C96F1A">
        <w:rPr>
          <w:rFonts w:ascii="Arial" w:hAnsi="Arial" w:cs="Arial"/>
        </w:rPr>
        <w:t>In 2017–18, we worked collaboratively with other levels of government through the:</w:t>
      </w:r>
    </w:p>
    <w:p w:rsidR="0028598A" w:rsidRPr="00CC4876" w:rsidRDefault="00B625AF" w:rsidP="00D806AE">
      <w:pPr>
        <w:pStyle w:val="ListParagraph"/>
        <w:numPr>
          <w:ilvl w:val="0"/>
          <w:numId w:val="44"/>
        </w:numPr>
        <w:rPr>
          <w:rFonts w:ascii="Arial" w:hAnsi="Arial" w:cs="Arial"/>
        </w:rPr>
      </w:pPr>
      <w:r w:rsidRPr="00CC4876">
        <w:rPr>
          <w:rFonts w:ascii="Arial" w:hAnsi="Arial" w:cs="Arial"/>
        </w:rPr>
        <w:t>Development and negotiation of a new National Housing and Homelessness Agreement (NHHA), which commenced on 1 July 2018 and will provide $313.6 million in Commonwealth funding in 2018–19 and nearly $1.6 billion over five years to 2022–23 to support housing and homelessness services for vulnerable Queenslanders. The NHHA replaces the National Affordable Housing Agreement (NAHA) and the Transitional National Partnership Agreement on Homelessness from 1 July 2018.</w:t>
      </w:r>
    </w:p>
    <w:p w:rsidR="0028598A" w:rsidRPr="00CC4876" w:rsidRDefault="00B625AF" w:rsidP="00D806AE">
      <w:pPr>
        <w:pStyle w:val="ListParagraph"/>
        <w:numPr>
          <w:ilvl w:val="0"/>
          <w:numId w:val="44"/>
        </w:numPr>
        <w:rPr>
          <w:rFonts w:ascii="Arial" w:hAnsi="Arial" w:cs="Arial"/>
        </w:rPr>
      </w:pPr>
      <w:r w:rsidRPr="00CC4876">
        <w:rPr>
          <w:rFonts w:ascii="Arial" w:hAnsi="Arial" w:cs="Arial"/>
        </w:rPr>
        <w:t>Implementation of the Transitional National Partnership Agreement on Homelessness 2017–18, which secured a further 12 months of funding to enable homelessness service continuity whilst the National Housing and Homelessness Agreement was being developed.</w:t>
      </w:r>
    </w:p>
    <w:p w:rsidR="0028598A" w:rsidRPr="00CC4876" w:rsidRDefault="00B625AF" w:rsidP="00D806AE">
      <w:pPr>
        <w:pStyle w:val="ListParagraph"/>
        <w:numPr>
          <w:ilvl w:val="0"/>
          <w:numId w:val="44"/>
        </w:numPr>
        <w:rPr>
          <w:rFonts w:ascii="Arial" w:hAnsi="Arial" w:cs="Arial"/>
        </w:rPr>
      </w:pPr>
      <w:r w:rsidRPr="00CC4876">
        <w:rPr>
          <w:rFonts w:ascii="Arial" w:hAnsi="Arial" w:cs="Arial"/>
        </w:rPr>
        <w:t>Implementation of the NAHA, which expired on 30 June 2018. The 2018 COAG Performance Report listed Queensland as ‘improving’ its performance against the NAHA benchmark for reducing homelessness, despite national figures not meeting the targeted reduction of seven per cent between 2008 and 2017–18.</w:t>
      </w:r>
    </w:p>
    <w:p w:rsidR="0028598A" w:rsidRPr="00CC4876" w:rsidRDefault="00B625AF" w:rsidP="00D806AE">
      <w:pPr>
        <w:pStyle w:val="ListParagraph"/>
        <w:numPr>
          <w:ilvl w:val="0"/>
          <w:numId w:val="44"/>
        </w:numPr>
        <w:rPr>
          <w:rFonts w:ascii="Arial" w:hAnsi="Arial" w:cs="Arial"/>
        </w:rPr>
      </w:pPr>
      <w:r w:rsidRPr="00CC4876">
        <w:rPr>
          <w:rFonts w:ascii="Arial" w:hAnsi="Arial" w:cs="Arial"/>
        </w:rPr>
        <w:t>Expiration of the National Partnership Agreement on Remote Housing as at 30 June 2018 with agreement to extend finalisation of new constructions by 31 December 2018 and a new Employment and Education Facility by 31 December 2019. The 2018 COAG Performance Report listed Queensland as ‘on track’ to meet the National Partnership on Remote Housing performance benchmark for the construction and refurbishment of homes, whilst national progress was listed as ‘not on track.’</w:t>
      </w:r>
    </w:p>
    <w:p w:rsidR="0028598A" w:rsidRPr="00CC4876" w:rsidRDefault="00B625AF" w:rsidP="00D806AE">
      <w:pPr>
        <w:pStyle w:val="ListParagraph"/>
        <w:numPr>
          <w:ilvl w:val="0"/>
          <w:numId w:val="44"/>
        </w:numPr>
        <w:rPr>
          <w:rFonts w:ascii="Arial" w:hAnsi="Arial" w:cs="Arial"/>
        </w:rPr>
      </w:pPr>
      <w:r w:rsidRPr="00CC4876">
        <w:rPr>
          <w:rFonts w:ascii="Arial" w:hAnsi="Arial" w:cs="Arial"/>
        </w:rPr>
        <w:t>Participation in the Australian Government’s review of the National Partnership on Remote Housing, and negotiation with the Australian Government around future funding arrangements for remote Indigenous housing in Queensland.</w:t>
      </w:r>
    </w:p>
    <w:p w:rsidR="0028598A" w:rsidRPr="00CC4876" w:rsidRDefault="00B625AF" w:rsidP="00D806AE">
      <w:pPr>
        <w:pStyle w:val="ListParagraph"/>
        <w:numPr>
          <w:ilvl w:val="0"/>
          <w:numId w:val="44"/>
        </w:numPr>
        <w:rPr>
          <w:rFonts w:ascii="Arial" w:hAnsi="Arial" w:cs="Arial"/>
        </w:rPr>
      </w:pPr>
      <w:r w:rsidRPr="00CC4876">
        <w:rPr>
          <w:rFonts w:ascii="Arial" w:hAnsi="Arial" w:cs="Arial"/>
        </w:rPr>
        <w:t>Strata Title Inspection Scheme Project Agreement, which provides funding of up to $12.5 million over a four-year period from 1 July 2018 to 30 June 2021 to the State, represented by the department to facilitate the provision of engineering assessment’s on strata titled properties. The agreement’s proposed objective is to reduce the cost of home, contents and strata insurance premiums in the cyclone areas of North Queensland.</w:t>
      </w:r>
    </w:p>
    <w:p w:rsidR="0028598A" w:rsidRPr="00CC4876" w:rsidRDefault="00B625AF" w:rsidP="00D806AE">
      <w:pPr>
        <w:pStyle w:val="ListParagraph"/>
        <w:numPr>
          <w:ilvl w:val="0"/>
          <w:numId w:val="44"/>
        </w:numPr>
        <w:rPr>
          <w:rFonts w:ascii="Arial" w:hAnsi="Arial" w:cs="Arial"/>
        </w:rPr>
      </w:pPr>
      <w:r w:rsidRPr="00CC4876">
        <w:rPr>
          <w:rFonts w:ascii="Arial" w:hAnsi="Arial" w:cs="Arial"/>
        </w:rPr>
        <w:t>Intergovernmental Agreement between the Australian Government, states and territories that establishes the Australian Building Codes Board.</w:t>
      </w:r>
    </w:p>
    <w:p w:rsidR="0028598A" w:rsidRPr="00CC4876" w:rsidRDefault="00B625AF" w:rsidP="00D806AE">
      <w:pPr>
        <w:pStyle w:val="ListParagraph"/>
        <w:numPr>
          <w:ilvl w:val="0"/>
          <w:numId w:val="44"/>
        </w:numPr>
        <w:rPr>
          <w:rFonts w:ascii="Arial" w:hAnsi="Arial" w:cs="Arial"/>
        </w:rPr>
      </w:pPr>
      <w:r w:rsidRPr="00CC4876">
        <w:rPr>
          <w:rFonts w:ascii="Arial" w:hAnsi="Arial" w:cs="Arial"/>
        </w:rPr>
        <w:t>Australasian Procurement and Construction Council, which is a peak council, the members of which are responsible for procurement, construction, asset management and property policy delivery for the governments of Australian states and territories, the Commonwealth and New Zealand.</w:t>
      </w:r>
    </w:p>
    <w:p w:rsidR="000F79B8" w:rsidRDefault="000F79B8">
      <w:pPr>
        <w:spacing w:before="0" w:after="0"/>
        <w:rPr>
          <w:rFonts w:asciiTheme="majorHAnsi" w:eastAsiaTheme="majorEastAsia" w:hAnsiTheme="majorHAnsi" w:cstheme="majorBidi"/>
          <w:b/>
          <w:bCs/>
          <w:caps/>
          <w:kern w:val="32"/>
          <w:sz w:val="40"/>
          <w:szCs w:val="32"/>
        </w:rPr>
      </w:pPr>
      <w:r>
        <w:br w:type="page"/>
      </w:r>
    </w:p>
    <w:p w:rsidR="0028598A" w:rsidRPr="00C96F1A" w:rsidRDefault="00B625AF" w:rsidP="00991116">
      <w:pPr>
        <w:pStyle w:val="Heading1"/>
      </w:pPr>
      <w:bookmarkStart w:id="81" w:name="LEGISLATION"/>
      <w:bookmarkStart w:id="82" w:name="_Toc528845979"/>
      <w:r w:rsidRPr="00C96F1A">
        <w:lastRenderedPageBreak/>
        <w:t xml:space="preserve">Legislation </w:t>
      </w:r>
      <w:bookmarkEnd w:id="81"/>
      <w:r w:rsidRPr="00C96F1A">
        <w:t>administered by the Minister for Housing and Public Works, Minister for Digital Technology and Minister for Sport as at 30 June 2018</w:t>
      </w:r>
      <w:bookmarkEnd w:id="82"/>
    </w:p>
    <w:p w:rsidR="0028598A" w:rsidRPr="00C96F1A" w:rsidRDefault="0028598A" w:rsidP="00C96F1A">
      <w:pPr>
        <w:rPr>
          <w:rFonts w:ascii="Arial" w:hAnsi="Arial" w:cs="Arial"/>
        </w:rPr>
      </w:pPr>
    </w:p>
    <w:p w:rsidR="0028598A" w:rsidRPr="00C96F1A" w:rsidRDefault="00B625AF" w:rsidP="00C96F1A">
      <w:pPr>
        <w:rPr>
          <w:rFonts w:ascii="Arial" w:hAnsi="Arial" w:cs="Arial"/>
        </w:rPr>
      </w:pPr>
      <w:r w:rsidRPr="00C96F1A">
        <w:rPr>
          <w:rFonts w:ascii="Arial" w:hAnsi="Arial" w:cs="Arial"/>
        </w:rPr>
        <w:t xml:space="preserve">The Department of Housing and Public Works was established in 2012 under the </w:t>
      </w:r>
      <w:r w:rsidRPr="000F79B8">
        <w:rPr>
          <w:rFonts w:ascii="Arial" w:hAnsi="Arial" w:cs="Arial"/>
          <w:i/>
        </w:rPr>
        <w:t>Public Service Act 2008</w:t>
      </w:r>
      <w:r w:rsidRPr="00C96F1A">
        <w:rPr>
          <w:rFonts w:ascii="Arial" w:hAnsi="Arial" w:cs="Arial"/>
        </w:rPr>
        <w:t xml:space="preserve"> section 14(1).</w:t>
      </w:r>
    </w:p>
    <w:p w:rsidR="0028598A" w:rsidRPr="00991116" w:rsidRDefault="00B625AF" w:rsidP="00D806AE">
      <w:pPr>
        <w:pStyle w:val="ListParagraph"/>
        <w:numPr>
          <w:ilvl w:val="0"/>
          <w:numId w:val="45"/>
        </w:numPr>
        <w:rPr>
          <w:rFonts w:ascii="Arial" w:hAnsi="Arial" w:cs="Arial"/>
          <w:i/>
        </w:rPr>
      </w:pPr>
      <w:r w:rsidRPr="00991116">
        <w:rPr>
          <w:rFonts w:ascii="Arial" w:hAnsi="Arial" w:cs="Arial"/>
          <w:i/>
        </w:rPr>
        <w:t>Architects Act 2002</w:t>
      </w:r>
    </w:p>
    <w:p w:rsidR="0028598A" w:rsidRPr="00991116" w:rsidRDefault="00B625AF" w:rsidP="00D806AE">
      <w:pPr>
        <w:pStyle w:val="ListParagraph"/>
        <w:numPr>
          <w:ilvl w:val="0"/>
          <w:numId w:val="45"/>
        </w:numPr>
        <w:rPr>
          <w:rFonts w:ascii="Arial" w:hAnsi="Arial" w:cs="Arial"/>
          <w:i/>
        </w:rPr>
      </w:pPr>
      <w:r w:rsidRPr="00991116">
        <w:rPr>
          <w:rFonts w:ascii="Arial" w:hAnsi="Arial" w:cs="Arial"/>
          <w:i/>
        </w:rPr>
        <w:t>Building Act 1975</w:t>
      </w:r>
    </w:p>
    <w:p w:rsidR="0028598A" w:rsidRPr="00991116" w:rsidRDefault="00B625AF" w:rsidP="00D806AE">
      <w:pPr>
        <w:pStyle w:val="ListParagraph"/>
        <w:numPr>
          <w:ilvl w:val="0"/>
          <w:numId w:val="45"/>
        </w:numPr>
        <w:rPr>
          <w:rFonts w:ascii="Arial" w:hAnsi="Arial" w:cs="Arial"/>
          <w:i/>
        </w:rPr>
      </w:pPr>
      <w:r w:rsidRPr="00991116">
        <w:rPr>
          <w:rFonts w:ascii="Arial" w:hAnsi="Arial" w:cs="Arial"/>
          <w:i/>
        </w:rPr>
        <w:t>Building and Construction Industry Payments Act 2004</w:t>
      </w:r>
    </w:p>
    <w:p w:rsidR="0028598A" w:rsidRPr="00991116" w:rsidRDefault="00B625AF" w:rsidP="00D806AE">
      <w:pPr>
        <w:pStyle w:val="ListParagraph"/>
        <w:numPr>
          <w:ilvl w:val="0"/>
          <w:numId w:val="45"/>
        </w:numPr>
        <w:rPr>
          <w:rFonts w:ascii="Arial" w:hAnsi="Arial" w:cs="Arial"/>
          <w:i/>
        </w:rPr>
      </w:pPr>
      <w:r w:rsidRPr="00991116">
        <w:rPr>
          <w:rFonts w:ascii="Arial" w:hAnsi="Arial" w:cs="Arial"/>
          <w:i/>
        </w:rPr>
        <w:t>Building Industry Fairness (Security of Payment) Act 2017</w:t>
      </w:r>
    </w:p>
    <w:p w:rsidR="0028598A" w:rsidRPr="00991116" w:rsidRDefault="00B625AF" w:rsidP="00D806AE">
      <w:pPr>
        <w:pStyle w:val="ListParagraph"/>
        <w:numPr>
          <w:ilvl w:val="0"/>
          <w:numId w:val="45"/>
        </w:numPr>
        <w:rPr>
          <w:rFonts w:ascii="Arial" w:hAnsi="Arial" w:cs="Arial"/>
          <w:i/>
        </w:rPr>
      </w:pPr>
      <w:r w:rsidRPr="00991116">
        <w:rPr>
          <w:rFonts w:ascii="Arial" w:hAnsi="Arial" w:cs="Arial"/>
          <w:i/>
        </w:rPr>
        <w:t>Housing Act 2003</w:t>
      </w:r>
    </w:p>
    <w:p w:rsidR="0028598A" w:rsidRPr="00991116" w:rsidRDefault="00B625AF" w:rsidP="00D806AE">
      <w:pPr>
        <w:pStyle w:val="ListParagraph"/>
        <w:numPr>
          <w:ilvl w:val="0"/>
          <w:numId w:val="45"/>
        </w:numPr>
        <w:rPr>
          <w:rFonts w:ascii="Arial" w:hAnsi="Arial" w:cs="Arial"/>
          <w:i/>
        </w:rPr>
      </w:pPr>
      <w:r w:rsidRPr="00991116">
        <w:rPr>
          <w:rFonts w:ascii="Arial" w:hAnsi="Arial" w:cs="Arial"/>
          <w:i/>
        </w:rPr>
        <w:t>Housing (Freeholding of Land) Act 1957</w:t>
      </w:r>
    </w:p>
    <w:p w:rsidR="0028598A" w:rsidRPr="00991116" w:rsidRDefault="00B625AF" w:rsidP="00D806AE">
      <w:pPr>
        <w:pStyle w:val="ListParagraph"/>
        <w:numPr>
          <w:ilvl w:val="0"/>
          <w:numId w:val="45"/>
        </w:numPr>
        <w:rPr>
          <w:rFonts w:ascii="Arial" w:hAnsi="Arial" w:cs="Arial"/>
          <w:i/>
        </w:rPr>
      </w:pPr>
      <w:r w:rsidRPr="00991116">
        <w:rPr>
          <w:rFonts w:ascii="Arial" w:hAnsi="Arial" w:cs="Arial"/>
          <w:i/>
        </w:rPr>
        <w:t>Inala Shopping Centre Freeholding Act 2006</w:t>
      </w:r>
    </w:p>
    <w:p w:rsidR="0028598A" w:rsidRPr="00991116" w:rsidRDefault="00B625AF" w:rsidP="00D806AE">
      <w:pPr>
        <w:pStyle w:val="ListParagraph"/>
        <w:numPr>
          <w:ilvl w:val="0"/>
          <w:numId w:val="45"/>
        </w:numPr>
        <w:rPr>
          <w:rFonts w:ascii="Arial" w:hAnsi="Arial" w:cs="Arial"/>
          <w:i/>
        </w:rPr>
      </w:pPr>
      <w:r w:rsidRPr="00991116">
        <w:rPr>
          <w:rFonts w:ascii="Arial" w:hAnsi="Arial" w:cs="Arial"/>
          <w:i/>
        </w:rPr>
        <w:t>Major Sports Facilities Act 2001</w:t>
      </w:r>
    </w:p>
    <w:p w:rsidR="0028598A" w:rsidRPr="00991116" w:rsidRDefault="00B625AF" w:rsidP="00D806AE">
      <w:pPr>
        <w:pStyle w:val="ListParagraph"/>
        <w:numPr>
          <w:ilvl w:val="0"/>
          <w:numId w:val="45"/>
        </w:numPr>
        <w:rPr>
          <w:rFonts w:ascii="Arial" w:hAnsi="Arial" w:cs="Arial"/>
          <w:i/>
        </w:rPr>
      </w:pPr>
      <w:r w:rsidRPr="00991116">
        <w:rPr>
          <w:rFonts w:ascii="Arial" w:hAnsi="Arial" w:cs="Arial"/>
          <w:i/>
        </w:rPr>
        <w:t>Manufactured Homes (Residential Parks) Act 2003</w:t>
      </w:r>
    </w:p>
    <w:p w:rsidR="0028598A" w:rsidRPr="00991116" w:rsidRDefault="00B625AF" w:rsidP="00D806AE">
      <w:pPr>
        <w:pStyle w:val="ListParagraph"/>
        <w:numPr>
          <w:ilvl w:val="0"/>
          <w:numId w:val="45"/>
        </w:numPr>
        <w:rPr>
          <w:rFonts w:ascii="Arial" w:hAnsi="Arial" w:cs="Arial"/>
          <w:i/>
        </w:rPr>
      </w:pPr>
      <w:r w:rsidRPr="00991116">
        <w:rPr>
          <w:rFonts w:ascii="Arial" w:hAnsi="Arial" w:cs="Arial"/>
          <w:i/>
        </w:rPr>
        <w:t>Mt. Gravatt Showgrounds Act 1988</w:t>
      </w:r>
    </w:p>
    <w:p w:rsidR="0028598A" w:rsidRPr="00991116" w:rsidRDefault="00B625AF" w:rsidP="00D806AE">
      <w:pPr>
        <w:pStyle w:val="ListParagraph"/>
        <w:numPr>
          <w:ilvl w:val="0"/>
          <w:numId w:val="45"/>
        </w:numPr>
        <w:rPr>
          <w:rFonts w:ascii="Arial" w:hAnsi="Arial" w:cs="Arial"/>
          <w:i/>
        </w:rPr>
      </w:pPr>
      <w:r w:rsidRPr="00991116">
        <w:rPr>
          <w:rFonts w:ascii="Arial" w:hAnsi="Arial" w:cs="Arial"/>
          <w:i/>
        </w:rPr>
        <w:t>Plumbing and Drainage Act 2002</w:t>
      </w:r>
    </w:p>
    <w:p w:rsidR="0028598A" w:rsidRPr="00991116" w:rsidRDefault="00B625AF" w:rsidP="00D806AE">
      <w:pPr>
        <w:pStyle w:val="ListParagraph"/>
        <w:numPr>
          <w:ilvl w:val="0"/>
          <w:numId w:val="45"/>
        </w:numPr>
        <w:rPr>
          <w:rFonts w:ascii="Arial" w:hAnsi="Arial" w:cs="Arial"/>
          <w:i/>
        </w:rPr>
      </w:pPr>
      <w:r w:rsidRPr="00991116">
        <w:rPr>
          <w:rFonts w:ascii="Arial" w:hAnsi="Arial" w:cs="Arial"/>
          <w:i/>
        </w:rPr>
        <w:t>Planning Act 2016 (to the extent the provisions relate to the administration of the development tribunal under that Act: Chapter 6; Section 282; and Schedule 1)</w:t>
      </w:r>
    </w:p>
    <w:p w:rsidR="0028598A" w:rsidRPr="00991116" w:rsidRDefault="00B625AF" w:rsidP="00D806AE">
      <w:pPr>
        <w:pStyle w:val="ListParagraph"/>
        <w:numPr>
          <w:ilvl w:val="0"/>
          <w:numId w:val="45"/>
        </w:numPr>
        <w:rPr>
          <w:rFonts w:ascii="Arial" w:hAnsi="Arial" w:cs="Arial"/>
          <w:i/>
        </w:rPr>
      </w:pPr>
      <w:r w:rsidRPr="00991116">
        <w:rPr>
          <w:rFonts w:ascii="Arial" w:hAnsi="Arial" w:cs="Arial"/>
          <w:i/>
        </w:rPr>
        <w:t>Professional Engineers Act 2002</w:t>
      </w:r>
    </w:p>
    <w:p w:rsidR="0028598A" w:rsidRPr="00991116" w:rsidRDefault="00B625AF" w:rsidP="00D806AE">
      <w:pPr>
        <w:pStyle w:val="ListParagraph"/>
        <w:numPr>
          <w:ilvl w:val="0"/>
          <w:numId w:val="45"/>
        </w:numPr>
        <w:rPr>
          <w:rFonts w:ascii="Arial" w:hAnsi="Arial" w:cs="Arial"/>
          <w:i/>
        </w:rPr>
      </w:pPr>
      <w:r w:rsidRPr="00991116">
        <w:rPr>
          <w:rFonts w:ascii="Arial" w:hAnsi="Arial" w:cs="Arial"/>
          <w:i/>
        </w:rPr>
        <w:t>Public Records Act 2002</w:t>
      </w:r>
    </w:p>
    <w:p w:rsidR="0028598A" w:rsidRPr="00991116" w:rsidRDefault="00B625AF" w:rsidP="00D806AE">
      <w:pPr>
        <w:pStyle w:val="ListParagraph"/>
        <w:numPr>
          <w:ilvl w:val="0"/>
          <w:numId w:val="45"/>
        </w:numPr>
        <w:rPr>
          <w:rFonts w:ascii="Arial" w:hAnsi="Arial" w:cs="Arial"/>
          <w:i/>
        </w:rPr>
      </w:pPr>
      <w:r w:rsidRPr="00991116">
        <w:rPr>
          <w:rFonts w:ascii="Arial" w:hAnsi="Arial" w:cs="Arial"/>
          <w:i/>
        </w:rPr>
        <w:t>Queensland Building and Construction Commission Act 1991</w:t>
      </w:r>
    </w:p>
    <w:p w:rsidR="0028598A" w:rsidRPr="00991116" w:rsidRDefault="00B625AF" w:rsidP="00D806AE">
      <w:pPr>
        <w:pStyle w:val="ListParagraph"/>
        <w:numPr>
          <w:ilvl w:val="0"/>
          <w:numId w:val="45"/>
        </w:numPr>
        <w:rPr>
          <w:rFonts w:ascii="Arial" w:hAnsi="Arial" w:cs="Arial"/>
          <w:i/>
        </w:rPr>
      </w:pPr>
      <w:r w:rsidRPr="00991116">
        <w:rPr>
          <w:rFonts w:ascii="Arial" w:hAnsi="Arial" w:cs="Arial"/>
          <w:i/>
        </w:rPr>
        <w:t>Residential Services (Accreditation) Act 2002</w:t>
      </w:r>
    </w:p>
    <w:p w:rsidR="0028598A" w:rsidRPr="00991116" w:rsidRDefault="00B625AF" w:rsidP="00D806AE">
      <w:pPr>
        <w:pStyle w:val="ListParagraph"/>
        <w:numPr>
          <w:ilvl w:val="0"/>
          <w:numId w:val="45"/>
        </w:numPr>
        <w:rPr>
          <w:rFonts w:ascii="Arial" w:hAnsi="Arial" w:cs="Arial"/>
          <w:i/>
        </w:rPr>
      </w:pPr>
      <w:r w:rsidRPr="00991116">
        <w:rPr>
          <w:rFonts w:ascii="Arial" w:hAnsi="Arial" w:cs="Arial"/>
          <w:i/>
        </w:rPr>
        <w:t>Residential Tenancies and Rooming Accommodation Act 2008</w:t>
      </w:r>
    </w:p>
    <w:p w:rsidR="0028598A" w:rsidRPr="00991116" w:rsidRDefault="00B625AF" w:rsidP="00D806AE">
      <w:pPr>
        <w:pStyle w:val="ListParagraph"/>
        <w:numPr>
          <w:ilvl w:val="0"/>
          <w:numId w:val="45"/>
        </w:numPr>
        <w:rPr>
          <w:rFonts w:ascii="Arial" w:hAnsi="Arial" w:cs="Arial"/>
          <w:i/>
        </w:rPr>
      </w:pPr>
      <w:r w:rsidRPr="00991116">
        <w:rPr>
          <w:rFonts w:ascii="Arial" w:hAnsi="Arial" w:cs="Arial"/>
          <w:i/>
        </w:rPr>
        <w:t>Retirement Villages Act 1999</w:t>
      </w:r>
    </w:p>
    <w:p w:rsidR="0028598A" w:rsidRPr="00991116" w:rsidRDefault="00B625AF" w:rsidP="00D806AE">
      <w:pPr>
        <w:pStyle w:val="ListParagraph"/>
        <w:numPr>
          <w:ilvl w:val="0"/>
          <w:numId w:val="45"/>
        </w:numPr>
        <w:rPr>
          <w:rFonts w:ascii="Arial" w:hAnsi="Arial" w:cs="Arial"/>
          <w:i/>
        </w:rPr>
      </w:pPr>
      <w:r w:rsidRPr="00991116">
        <w:rPr>
          <w:rFonts w:ascii="Arial" w:hAnsi="Arial" w:cs="Arial"/>
          <w:i/>
        </w:rPr>
        <w:t>Schools of Arts (Winding Up and Transfer) Act 1960</w:t>
      </w:r>
    </w:p>
    <w:p w:rsidR="0028598A" w:rsidRPr="00991116" w:rsidRDefault="00B625AF" w:rsidP="00D806AE">
      <w:pPr>
        <w:pStyle w:val="ListParagraph"/>
        <w:numPr>
          <w:ilvl w:val="0"/>
          <w:numId w:val="45"/>
        </w:numPr>
        <w:rPr>
          <w:rFonts w:ascii="Arial" w:hAnsi="Arial" w:cs="Arial"/>
          <w:i/>
        </w:rPr>
      </w:pPr>
      <w:r w:rsidRPr="00991116">
        <w:rPr>
          <w:rFonts w:ascii="Arial" w:hAnsi="Arial" w:cs="Arial"/>
          <w:i/>
        </w:rPr>
        <w:t>Schools of Arts (Winding Up and Transfer) Act Amendment Act 1981</w:t>
      </w:r>
    </w:p>
    <w:p w:rsidR="0028598A" w:rsidRPr="00991116" w:rsidRDefault="00B625AF" w:rsidP="00D806AE">
      <w:pPr>
        <w:pStyle w:val="ListParagraph"/>
        <w:numPr>
          <w:ilvl w:val="0"/>
          <w:numId w:val="45"/>
        </w:numPr>
        <w:rPr>
          <w:rFonts w:ascii="Arial" w:hAnsi="Arial" w:cs="Arial"/>
          <w:i/>
        </w:rPr>
      </w:pPr>
      <w:r w:rsidRPr="00991116">
        <w:rPr>
          <w:rFonts w:ascii="Arial" w:hAnsi="Arial" w:cs="Arial"/>
          <w:i/>
        </w:rPr>
        <w:t>Sports Anti-Doping Act 2003</w:t>
      </w:r>
    </w:p>
    <w:p w:rsidR="0028598A" w:rsidRPr="00991116" w:rsidRDefault="00B625AF" w:rsidP="00D806AE">
      <w:pPr>
        <w:pStyle w:val="ListParagraph"/>
        <w:numPr>
          <w:ilvl w:val="0"/>
          <w:numId w:val="45"/>
        </w:numPr>
        <w:rPr>
          <w:rFonts w:ascii="Arial" w:hAnsi="Arial" w:cs="Arial"/>
          <w:i/>
        </w:rPr>
      </w:pPr>
      <w:r w:rsidRPr="00991116">
        <w:rPr>
          <w:rFonts w:ascii="Arial" w:hAnsi="Arial" w:cs="Arial"/>
          <w:i/>
        </w:rPr>
        <w:t>Subcontractors’ Charges Act 1974</w:t>
      </w:r>
    </w:p>
    <w:p w:rsidR="0028598A" w:rsidRPr="00991116" w:rsidRDefault="00B625AF" w:rsidP="00D806AE">
      <w:pPr>
        <w:pStyle w:val="ListParagraph"/>
        <w:numPr>
          <w:ilvl w:val="0"/>
          <w:numId w:val="45"/>
        </w:numPr>
        <w:rPr>
          <w:rFonts w:ascii="Arial" w:hAnsi="Arial" w:cs="Arial"/>
          <w:i/>
        </w:rPr>
      </w:pPr>
      <w:r w:rsidRPr="00991116">
        <w:rPr>
          <w:rFonts w:ascii="Arial" w:hAnsi="Arial" w:cs="Arial"/>
          <w:i/>
        </w:rPr>
        <w:t>Sustainable Planning Act 2009</w:t>
      </w:r>
    </w:p>
    <w:p w:rsidR="00A673F5" w:rsidRDefault="00A673F5">
      <w:pPr>
        <w:spacing w:before="0" w:after="0"/>
        <w:rPr>
          <w:rFonts w:asciiTheme="majorHAnsi" w:eastAsiaTheme="majorEastAsia" w:hAnsiTheme="majorHAnsi" w:cstheme="majorBidi"/>
          <w:b/>
          <w:bCs/>
          <w:sz w:val="32"/>
          <w:szCs w:val="26"/>
        </w:rPr>
      </w:pPr>
      <w:r>
        <w:br w:type="page"/>
      </w:r>
    </w:p>
    <w:p w:rsidR="0028598A" w:rsidRPr="00C96F1A" w:rsidRDefault="00B625AF" w:rsidP="00991116">
      <w:pPr>
        <w:pStyle w:val="Heading3"/>
      </w:pPr>
      <w:r w:rsidRPr="00C96F1A">
        <w:lastRenderedPageBreak/>
        <w:t>Statutory bodies</w:t>
      </w:r>
    </w:p>
    <w:p w:rsidR="0028598A" w:rsidRPr="00C96F1A" w:rsidRDefault="00B625AF" w:rsidP="00C96F1A">
      <w:pPr>
        <w:rPr>
          <w:rFonts w:ascii="Arial" w:hAnsi="Arial" w:cs="Arial"/>
        </w:rPr>
      </w:pPr>
      <w:r w:rsidRPr="00C96F1A">
        <w:rPr>
          <w:rFonts w:ascii="Arial" w:hAnsi="Arial" w:cs="Arial"/>
        </w:rPr>
        <w:t>The following statutory bodies and authorities prepare separate annual reports that are provided to the Minister for Housing and Public Works, Minister for Digital Technology and Minister for Sport.</w:t>
      </w:r>
    </w:p>
    <w:tbl>
      <w:tblPr>
        <w:tblW w:w="1020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02"/>
        <w:gridCol w:w="3401"/>
        <w:gridCol w:w="3402"/>
      </w:tblGrid>
      <w:tr w:rsidR="00991116" w:rsidTr="006F7B73">
        <w:trPr>
          <w:trHeight w:val="813"/>
        </w:trPr>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0" w:type="dxa"/>
              <w:left w:w="80" w:type="dxa"/>
              <w:bottom w:w="80" w:type="dxa"/>
              <w:right w:w="80" w:type="dxa"/>
            </w:tcMar>
            <w:vAlign w:val="center"/>
            <w:hideMark/>
          </w:tcPr>
          <w:p w:rsidR="00991116" w:rsidRPr="00090FD9" w:rsidRDefault="00991116" w:rsidP="006F7B73">
            <w:pPr>
              <w:spacing w:line="256" w:lineRule="auto"/>
              <w:rPr>
                <w:b/>
                <w:color w:val="000000" w:themeColor="text1"/>
              </w:rPr>
            </w:pPr>
            <w:r w:rsidRPr="00371863">
              <w:rPr>
                <w:b/>
                <w:color w:val="000000" w:themeColor="text1"/>
              </w:rPr>
              <w:t>Name of body as described in the constituting Act</w:t>
            </w:r>
          </w:p>
        </w:tc>
        <w:tc>
          <w:tcPr>
            <w:tcW w:w="3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0" w:type="dxa"/>
              <w:left w:w="80" w:type="dxa"/>
              <w:bottom w:w="80" w:type="dxa"/>
              <w:right w:w="80" w:type="dxa"/>
            </w:tcMar>
            <w:vAlign w:val="center"/>
            <w:hideMark/>
          </w:tcPr>
          <w:p w:rsidR="00991116" w:rsidRPr="00203C6D" w:rsidRDefault="00991116" w:rsidP="006F7B73">
            <w:pPr>
              <w:spacing w:line="256" w:lineRule="auto"/>
              <w:rPr>
                <w:b/>
                <w:color w:val="000000" w:themeColor="text1"/>
              </w:rPr>
            </w:pPr>
            <w:r w:rsidRPr="29EF0645">
              <w:rPr>
                <w:b/>
                <w:color w:val="000000" w:themeColor="text1"/>
              </w:rPr>
              <w:t>Constituting Act</w:t>
            </w:r>
          </w:p>
        </w:tc>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0" w:type="dxa"/>
              <w:left w:w="80" w:type="dxa"/>
              <w:bottom w:w="80" w:type="dxa"/>
              <w:right w:w="80" w:type="dxa"/>
            </w:tcMar>
            <w:vAlign w:val="center"/>
            <w:hideMark/>
          </w:tcPr>
          <w:p w:rsidR="00991116" w:rsidRPr="00706D05" w:rsidRDefault="00991116" w:rsidP="006F7B73">
            <w:pPr>
              <w:spacing w:line="256" w:lineRule="auto"/>
              <w:rPr>
                <w:b/>
                <w:color w:val="000000" w:themeColor="text1"/>
              </w:rPr>
            </w:pPr>
            <w:r w:rsidRPr="29EF0645">
              <w:rPr>
                <w:b/>
                <w:color w:val="000000" w:themeColor="text1"/>
              </w:rPr>
              <w:t>Annual reporting arrangements</w:t>
            </w:r>
          </w:p>
        </w:tc>
      </w:tr>
      <w:tr w:rsidR="00991116" w:rsidRPr="005573B1" w:rsidTr="006F7B73">
        <w:tblPrEx>
          <w:tblLook w:val="0000" w:firstRow="0" w:lastRow="0" w:firstColumn="0" w:lastColumn="0" w:noHBand="0" w:noVBand="0"/>
        </w:tblPrEx>
        <w:trPr>
          <w:trHeight w:val="813"/>
        </w:trPr>
        <w:tc>
          <w:tcPr>
            <w:tcW w:w="3402" w:type="dxa"/>
            <w:shd w:val="clear" w:color="auto" w:fill="auto"/>
            <w:tcMar>
              <w:top w:w="80" w:type="dxa"/>
              <w:left w:w="80" w:type="dxa"/>
              <w:bottom w:w="80" w:type="dxa"/>
              <w:right w:w="80" w:type="dxa"/>
            </w:tcMar>
            <w:vAlign w:val="center"/>
          </w:tcPr>
          <w:p w:rsidR="00991116" w:rsidRPr="005573B1" w:rsidRDefault="00991116" w:rsidP="006F7B73">
            <w:pPr>
              <w:rPr>
                <w:color w:val="000000" w:themeColor="text1"/>
              </w:rPr>
            </w:pPr>
            <w:r w:rsidRPr="005573B1">
              <w:rPr>
                <w:color w:val="000000" w:themeColor="text1"/>
              </w:rPr>
              <w:t>Board of Architects of Queensland</w:t>
            </w:r>
          </w:p>
        </w:tc>
        <w:tc>
          <w:tcPr>
            <w:tcW w:w="3401" w:type="dxa"/>
            <w:shd w:val="clear" w:color="auto" w:fill="auto"/>
            <w:tcMar>
              <w:top w:w="80" w:type="dxa"/>
              <w:left w:w="80" w:type="dxa"/>
              <w:bottom w:w="80" w:type="dxa"/>
              <w:right w:w="80" w:type="dxa"/>
            </w:tcMar>
            <w:vAlign w:val="center"/>
          </w:tcPr>
          <w:p w:rsidR="00991116" w:rsidRPr="00371863" w:rsidRDefault="00991116" w:rsidP="006F7B73">
            <w:pPr>
              <w:rPr>
                <w:i/>
                <w:color w:val="000000" w:themeColor="text1"/>
              </w:rPr>
            </w:pPr>
            <w:r w:rsidRPr="005573B1">
              <w:rPr>
                <w:i/>
                <w:iCs/>
                <w:color w:val="000000" w:themeColor="text1"/>
              </w:rPr>
              <w:t>Architects Act 2002</w:t>
            </w:r>
          </w:p>
        </w:tc>
        <w:tc>
          <w:tcPr>
            <w:tcW w:w="3402" w:type="dxa"/>
            <w:shd w:val="clear" w:color="auto" w:fill="auto"/>
            <w:tcMar>
              <w:top w:w="80" w:type="dxa"/>
              <w:left w:w="80" w:type="dxa"/>
              <w:bottom w:w="80" w:type="dxa"/>
              <w:right w:w="80" w:type="dxa"/>
            </w:tcMar>
            <w:vAlign w:val="center"/>
          </w:tcPr>
          <w:p w:rsidR="00991116" w:rsidRPr="005573B1" w:rsidRDefault="00991116" w:rsidP="006F7B73">
            <w:pPr>
              <w:rPr>
                <w:color w:val="000000" w:themeColor="text1"/>
              </w:rPr>
            </w:pPr>
            <w:r w:rsidRPr="005573B1">
              <w:rPr>
                <w:color w:val="000000" w:themeColor="text1"/>
              </w:rPr>
              <w:t>Annual report to Parliament</w:t>
            </w:r>
          </w:p>
        </w:tc>
      </w:tr>
      <w:tr w:rsidR="00991116" w:rsidRPr="005573B1" w:rsidTr="006F7B73">
        <w:tblPrEx>
          <w:tblLook w:val="0000" w:firstRow="0" w:lastRow="0" w:firstColumn="0" w:lastColumn="0" w:noHBand="0" w:noVBand="0"/>
        </w:tblPrEx>
        <w:trPr>
          <w:trHeight w:val="813"/>
        </w:trPr>
        <w:tc>
          <w:tcPr>
            <w:tcW w:w="3402" w:type="dxa"/>
            <w:shd w:val="clear" w:color="auto" w:fill="auto"/>
            <w:tcMar>
              <w:top w:w="80" w:type="dxa"/>
              <w:left w:w="80" w:type="dxa"/>
              <w:bottom w:w="80" w:type="dxa"/>
              <w:right w:w="80" w:type="dxa"/>
            </w:tcMar>
            <w:vAlign w:val="center"/>
          </w:tcPr>
          <w:p w:rsidR="00991116" w:rsidRPr="005573B1" w:rsidRDefault="00991116" w:rsidP="006F7B73">
            <w:pPr>
              <w:rPr>
                <w:color w:val="000000" w:themeColor="text1"/>
              </w:rPr>
            </w:pPr>
            <w:r w:rsidRPr="005573B1">
              <w:rPr>
                <w:color w:val="000000" w:themeColor="text1"/>
              </w:rPr>
              <w:t>Board of Professional Engineers of Queensland</w:t>
            </w:r>
          </w:p>
        </w:tc>
        <w:tc>
          <w:tcPr>
            <w:tcW w:w="3401" w:type="dxa"/>
            <w:shd w:val="clear" w:color="auto" w:fill="auto"/>
            <w:tcMar>
              <w:top w:w="80" w:type="dxa"/>
              <w:left w:w="80" w:type="dxa"/>
              <w:bottom w:w="80" w:type="dxa"/>
              <w:right w:w="80" w:type="dxa"/>
            </w:tcMar>
            <w:vAlign w:val="center"/>
          </w:tcPr>
          <w:p w:rsidR="00991116" w:rsidRPr="00371863" w:rsidRDefault="00991116" w:rsidP="006F7B73">
            <w:pPr>
              <w:rPr>
                <w:i/>
                <w:color w:val="000000" w:themeColor="text1"/>
              </w:rPr>
            </w:pPr>
            <w:r w:rsidRPr="005573B1">
              <w:rPr>
                <w:i/>
                <w:iCs/>
                <w:color w:val="000000" w:themeColor="text1"/>
              </w:rPr>
              <w:t>Professional Engineers Act 2002</w:t>
            </w:r>
          </w:p>
        </w:tc>
        <w:tc>
          <w:tcPr>
            <w:tcW w:w="3402" w:type="dxa"/>
            <w:shd w:val="clear" w:color="auto" w:fill="auto"/>
            <w:tcMar>
              <w:top w:w="80" w:type="dxa"/>
              <w:left w:w="80" w:type="dxa"/>
              <w:bottom w:w="80" w:type="dxa"/>
              <w:right w:w="80" w:type="dxa"/>
            </w:tcMar>
            <w:vAlign w:val="center"/>
          </w:tcPr>
          <w:p w:rsidR="00991116" w:rsidRPr="005573B1" w:rsidRDefault="00991116" w:rsidP="006F7B73">
            <w:pPr>
              <w:rPr>
                <w:color w:val="000000" w:themeColor="text1"/>
              </w:rPr>
            </w:pPr>
            <w:r w:rsidRPr="005573B1">
              <w:rPr>
                <w:color w:val="000000" w:themeColor="text1"/>
              </w:rPr>
              <w:t>Annual report to Parliament</w:t>
            </w:r>
          </w:p>
        </w:tc>
      </w:tr>
      <w:tr w:rsidR="00991116" w:rsidRPr="005573B1" w:rsidTr="006F7B73">
        <w:tblPrEx>
          <w:tblLook w:val="0000" w:firstRow="0" w:lastRow="0" w:firstColumn="0" w:lastColumn="0" w:noHBand="0" w:noVBand="0"/>
        </w:tblPrEx>
        <w:trPr>
          <w:trHeight w:val="813"/>
        </w:trPr>
        <w:tc>
          <w:tcPr>
            <w:tcW w:w="3402" w:type="dxa"/>
            <w:shd w:val="clear" w:color="auto" w:fill="auto"/>
            <w:tcMar>
              <w:top w:w="80" w:type="dxa"/>
              <w:left w:w="80" w:type="dxa"/>
              <w:bottom w:w="80" w:type="dxa"/>
              <w:right w:w="80" w:type="dxa"/>
            </w:tcMar>
            <w:vAlign w:val="center"/>
          </w:tcPr>
          <w:p w:rsidR="00991116" w:rsidRPr="005573B1" w:rsidRDefault="00991116" w:rsidP="006F7B73">
            <w:pPr>
              <w:rPr>
                <w:color w:val="000000" w:themeColor="text1"/>
              </w:rPr>
            </w:pPr>
            <w:r w:rsidRPr="005573B1">
              <w:rPr>
                <w:color w:val="000000" w:themeColor="text1"/>
              </w:rPr>
              <w:t>Queensland Building and Construction Commission</w:t>
            </w:r>
          </w:p>
        </w:tc>
        <w:tc>
          <w:tcPr>
            <w:tcW w:w="3401" w:type="dxa"/>
            <w:shd w:val="clear" w:color="auto" w:fill="auto"/>
            <w:tcMar>
              <w:top w:w="80" w:type="dxa"/>
              <w:left w:w="80" w:type="dxa"/>
              <w:bottom w:w="80" w:type="dxa"/>
              <w:right w:w="80" w:type="dxa"/>
            </w:tcMar>
            <w:vAlign w:val="center"/>
          </w:tcPr>
          <w:p w:rsidR="00991116" w:rsidRPr="00371863" w:rsidRDefault="00991116" w:rsidP="006F7B73">
            <w:pPr>
              <w:rPr>
                <w:i/>
                <w:color w:val="000000" w:themeColor="text1"/>
              </w:rPr>
            </w:pPr>
            <w:r w:rsidRPr="005573B1">
              <w:rPr>
                <w:i/>
                <w:iCs/>
                <w:color w:val="000000" w:themeColor="text1"/>
              </w:rPr>
              <w:t>Queensland Building and Construction Commission Act 1991</w:t>
            </w:r>
          </w:p>
        </w:tc>
        <w:tc>
          <w:tcPr>
            <w:tcW w:w="3402" w:type="dxa"/>
            <w:shd w:val="clear" w:color="auto" w:fill="auto"/>
            <w:tcMar>
              <w:top w:w="80" w:type="dxa"/>
              <w:left w:w="80" w:type="dxa"/>
              <w:bottom w:w="80" w:type="dxa"/>
              <w:right w:w="80" w:type="dxa"/>
            </w:tcMar>
            <w:vAlign w:val="center"/>
          </w:tcPr>
          <w:p w:rsidR="00991116" w:rsidRPr="005573B1" w:rsidRDefault="00991116" w:rsidP="006F7B73">
            <w:pPr>
              <w:rPr>
                <w:color w:val="000000" w:themeColor="text1"/>
              </w:rPr>
            </w:pPr>
            <w:r w:rsidRPr="005573B1">
              <w:rPr>
                <w:color w:val="000000" w:themeColor="text1"/>
              </w:rPr>
              <w:t>Annual report to Parliament</w:t>
            </w:r>
          </w:p>
        </w:tc>
      </w:tr>
      <w:tr w:rsidR="00991116" w:rsidRPr="005573B1" w:rsidTr="006F7B73">
        <w:tblPrEx>
          <w:tblLook w:val="0000" w:firstRow="0" w:lastRow="0" w:firstColumn="0" w:lastColumn="0" w:noHBand="0" w:noVBand="0"/>
        </w:tblPrEx>
        <w:trPr>
          <w:trHeight w:val="813"/>
        </w:trPr>
        <w:tc>
          <w:tcPr>
            <w:tcW w:w="3402" w:type="dxa"/>
            <w:shd w:val="clear" w:color="auto" w:fill="auto"/>
            <w:tcMar>
              <w:top w:w="80" w:type="dxa"/>
              <w:left w:w="80" w:type="dxa"/>
              <w:bottom w:w="80" w:type="dxa"/>
              <w:right w:w="80" w:type="dxa"/>
            </w:tcMar>
            <w:vAlign w:val="center"/>
          </w:tcPr>
          <w:p w:rsidR="00991116" w:rsidRPr="005573B1" w:rsidRDefault="00991116" w:rsidP="006F7B73">
            <w:pPr>
              <w:rPr>
                <w:color w:val="000000" w:themeColor="text1"/>
              </w:rPr>
            </w:pPr>
            <w:r w:rsidRPr="005573B1">
              <w:rPr>
                <w:color w:val="000000" w:themeColor="text1"/>
              </w:rPr>
              <w:t>Residential Tenancies Authority</w:t>
            </w:r>
          </w:p>
        </w:tc>
        <w:tc>
          <w:tcPr>
            <w:tcW w:w="3401" w:type="dxa"/>
            <w:shd w:val="clear" w:color="auto" w:fill="auto"/>
            <w:tcMar>
              <w:top w:w="80" w:type="dxa"/>
              <w:left w:w="80" w:type="dxa"/>
              <w:bottom w:w="80" w:type="dxa"/>
              <w:right w:w="80" w:type="dxa"/>
            </w:tcMar>
            <w:vAlign w:val="center"/>
          </w:tcPr>
          <w:p w:rsidR="00991116" w:rsidRPr="00371863" w:rsidRDefault="00991116" w:rsidP="006F7B73">
            <w:pPr>
              <w:rPr>
                <w:i/>
                <w:color w:val="000000" w:themeColor="text1"/>
              </w:rPr>
            </w:pPr>
            <w:r w:rsidRPr="005573B1">
              <w:rPr>
                <w:i/>
                <w:iCs/>
                <w:color w:val="000000" w:themeColor="text1"/>
              </w:rPr>
              <w:t>Residential Tenancies and Rooming Accommodation Act 2008</w:t>
            </w:r>
          </w:p>
        </w:tc>
        <w:tc>
          <w:tcPr>
            <w:tcW w:w="3402" w:type="dxa"/>
            <w:shd w:val="clear" w:color="auto" w:fill="auto"/>
            <w:tcMar>
              <w:top w:w="80" w:type="dxa"/>
              <w:left w:w="80" w:type="dxa"/>
              <w:bottom w:w="80" w:type="dxa"/>
              <w:right w:w="80" w:type="dxa"/>
            </w:tcMar>
            <w:vAlign w:val="center"/>
          </w:tcPr>
          <w:p w:rsidR="00991116" w:rsidRPr="005573B1" w:rsidRDefault="00991116" w:rsidP="006F7B73">
            <w:pPr>
              <w:rPr>
                <w:color w:val="000000" w:themeColor="text1"/>
              </w:rPr>
            </w:pPr>
            <w:r w:rsidRPr="005573B1">
              <w:rPr>
                <w:color w:val="000000" w:themeColor="text1"/>
              </w:rPr>
              <w:t>Annual report to Parliament</w:t>
            </w:r>
          </w:p>
        </w:tc>
      </w:tr>
      <w:tr w:rsidR="00991116" w:rsidRPr="005573B1" w:rsidTr="006F7B73">
        <w:tblPrEx>
          <w:tblLook w:val="0000" w:firstRow="0" w:lastRow="0" w:firstColumn="0" w:lastColumn="0" w:noHBand="0" w:noVBand="0"/>
        </w:tblPrEx>
        <w:trPr>
          <w:trHeight w:val="813"/>
        </w:trPr>
        <w:tc>
          <w:tcPr>
            <w:tcW w:w="3402" w:type="dxa"/>
            <w:shd w:val="clear" w:color="auto" w:fill="auto"/>
            <w:tcMar>
              <w:top w:w="80" w:type="dxa"/>
              <w:left w:w="80" w:type="dxa"/>
              <w:bottom w:w="80" w:type="dxa"/>
              <w:right w:w="80" w:type="dxa"/>
            </w:tcMar>
            <w:vAlign w:val="center"/>
          </w:tcPr>
          <w:p w:rsidR="00991116" w:rsidRPr="005573B1" w:rsidRDefault="00991116" w:rsidP="006F7B73">
            <w:pPr>
              <w:rPr>
                <w:color w:val="000000" w:themeColor="text1"/>
              </w:rPr>
            </w:pPr>
            <w:r w:rsidRPr="005573B1">
              <w:rPr>
                <w:color w:val="000000" w:themeColor="text1"/>
              </w:rPr>
              <w:t>Mt Gravatt Showgrounds Trust</w:t>
            </w:r>
          </w:p>
        </w:tc>
        <w:tc>
          <w:tcPr>
            <w:tcW w:w="3401" w:type="dxa"/>
            <w:shd w:val="clear" w:color="auto" w:fill="auto"/>
            <w:tcMar>
              <w:top w:w="80" w:type="dxa"/>
              <w:left w:w="80" w:type="dxa"/>
              <w:bottom w:w="80" w:type="dxa"/>
              <w:right w:w="80" w:type="dxa"/>
            </w:tcMar>
            <w:vAlign w:val="center"/>
          </w:tcPr>
          <w:p w:rsidR="00991116" w:rsidRPr="00371863" w:rsidRDefault="00991116" w:rsidP="006F7B73">
            <w:pPr>
              <w:rPr>
                <w:i/>
                <w:color w:val="000000" w:themeColor="text1"/>
              </w:rPr>
            </w:pPr>
            <w:r w:rsidRPr="005573B1">
              <w:rPr>
                <w:i/>
                <w:iCs/>
                <w:color w:val="000000" w:themeColor="text1"/>
              </w:rPr>
              <w:t>Mt. Gravatt Showgrounds Act 1988</w:t>
            </w:r>
          </w:p>
        </w:tc>
        <w:tc>
          <w:tcPr>
            <w:tcW w:w="3402" w:type="dxa"/>
            <w:shd w:val="clear" w:color="auto" w:fill="auto"/>
            <w:tcMar>
              <w:top w:w="80" w:type="dxa"/>
              <w:left w:w="80" w:type="dxa"/>
              <w:bottom w:w="80" w:type="dxa"/>
              <w:right w:w="80" w:type="dxa"/>
            </w:tcMar>
            <w:vAlign w:val="center"/>
          </w:tcPr>
          <w:p w:rsidR="00991116" w:rsidRPr="005573B1" w:rsidRDefault="00991116" w:rsidP="006F7B73">
            <w:pPr>
              <w:rPr>
                <w:color w:val="000000" w:themeColor="text1"/>
              </w:rPr>
            </w:pPr>
            <w:r w:rsidRPr="005573B1">
              <w:rPr>
                <w:color w:val="000000" w:themeColor="text1"/>
              </w:rPr>
              <w:t>Annual report to Parliament</w:t>
            </w:r>
          </w:p>
        </w:tc>
      </w:tr>
      <w:tr w:rsidR="00991116" w:rsidRPr="005573B1" w:rsidTr="006F7B73">
        <w:tblPrEx>
          <w:tblLook w:val="0000" w:firstRow="0" w:lastRow="0" w:firstColumn="0" w:lastColumn="0" w:noHBand="0" w:noVBand="0"/>
        </w:tblPrEx>
        <w:trPr>
          <w:trHeight w:val="813"/>
        </w:trPr>
        <w:tc>
          <w:tcPr>
            <w:tcW w:w="3402" w:type="dxa"/>
            <w:shd w:val="clear" w:color="auto" w:fill="auto"/>
            <w:tcMar>
              <w:top w:w="80" w:type="dxa"/>
              <w:left w:w="80" w:type="dxa"/>
              <w:bottom w:w="80" w:type="dxa"/>
              <w:right w:w="80" w:type="dxa"/>
            </w:tcMar>
            <w:vAlign w:val="center"/>
          </w:tcPr>
          <w:p w:rsidR="00991116" w:rsidRPr="00621F56" w:rsidRDefault="00991116" w:rsidP="006F7B73">
            <w:pPr>
              <w:rPr>
                <w:color w:val="000000" w:themeColor="text1"/>
              </w:rPr>
            </w:pPr>
            <w:r w:rsidRPr="00621F56">
              <w:rPr>
                <w:color w:val="000000" w:themeColor="text1"/>
              </w:rPr>
              <w:t>Queensland Academy of Sport Board</w:t>
            </w:r>
          </w:p>
        </w:tc>
        <w:tc>
          <w:tcPr>
            <w:tcW w:w="3401" w:type="dxa"/>
            <w:shd w:val="clear" w:color="auto" w:fill="auto"/>
            <w:tcMar>
              <w:top w:w="80" w:type="dxa"/>
              <w:left w:w="80" w:type="dxa"/>
              <w:bottom w:w="80" w:type="dxa"/>
              <w:right w:w="80" w:type="dxa"/>
            </w:tcMar>
            <w:vAlign w:val="center"/>
          </w:tcPr>
          <w:p w:rsidR="00991116" w:rsidRPr="00621F56" w:rsidRDefault="00991116" w:rsidP="006F7B73">
            <w:pPr>
              <w:rPr>
                <w:i/>
                <w:color w:val="000000" w:themeColor="text1"/>
              </w:rPr>
            </w:pPr>
            <w:r w:rsidRPr="00621F56">
              <w:rPr>
                <w:i/>
                <w:iCs/>
                <w:color w:val="000000" w:themeColor="text1"/>
              </w:rPr>
              <w:t>The Board is not established under an Act</w:t>
            </w:r>
          </w:p>
        </w:tc>
        <w:tc>
          <w:tcPr>
            <w:tcW w:w="3402" w:type="dxa"/>
            <w:shd w:val="clear" w:color="auto" w:fill="auto"/>
            <w:tcMar>
              <w:top w:w="80" w:type="dxa"/>
              <w:left w:w="80" w:type="dxa"/>
              <w:bottom w:w="80" w:type="dxa"/>
              <w:right w:w="80" w:type="dxa"/>
            </w:tcMar>
            <w:vAlign w:val="center"/>
          </w:tcPr>
          <w:p w:rsidR="00991116" w:rsidRPr="00621F56" w:rsidRDefault="00991116" w:rsidP="006F7B73">
            <w:pPr>
              <w:rPr>
                <w:color w:val="000000" w:themeColor="text1"/>
              </w:rPr>
            </w:pPr>
            <w:r w:rsidRPr="00621F56">
              <w:rPr>
                <w:color w:val="000000" w:themeColor="text1"/>
              </w:rPr>
              <w:t>Included in Annual Report</w:t>
            </w:r>
          </w:p>
        </w:tc>
      </w:tr>
      <w:tr w:rsidR="00991116" w:rsidRPr="005573B1" w:rsidTr="006F7B73">
        <w:tblPrEx>
          <w:tblLook w:val="0000" w:firstRow="0" w:lastRow="0" w:firstColumn="0" w:lastColumn="0" w:noHBand="0" w:noVBand="0"/>
        </w:tblPrEx>
        <w:trPr>
          <w:trHeight w:val="813"/>
        </w:trPr>
        <w:tc>
          <w:tcPr>
            <w:tcW w:w="3402" w:type="dxa"/>
            <w:shd w:val="clear" w:color="auto" w:fill="auto"/>
            <w:tcMar>
              <w:top w:w="80" w:type="dxa"/>
              <w:left w:w="80" w:type="dxa"/>
              <w:bottom w:w="80" w:type="dxa"/>
              <w:right w:w="80" w:type="dxa"/>
            </w:tcMar>
            <w:vAlign w:val="center"/>
          </w:tcPr>
          <w:p w:rsidR="00991116" w:rsidRPr="005573B1" w:rsidRDefault="00991116" w:rsidP="006F7B73">
            <w:pPr>
              <w:rPr>
                <w:color w:val="000000" w:themeColor="text1"/>
              </w:rPr>
            </w:pPr>
            <w:r w:rsidRPr="005573B1">
              <w:rPr>
                <w:color w:val="000000" w:themeColor="text1"/>
              </w:rPr>
              <w:t>Stadiums Queensland</w:t>
            </w:r>
          </w:p>
        </w:tc>
        <w:tc>
          <w:tcPr>
            <w:tcW w:w="3401" w:type="dxa"/>
            <w:shd w:val="clear" w:color="auto" w:fill="auto"/>
            <w:tcMar>
              <w:top w:w="80" w:type="dxa"/>
              <w:left w:w="80" w:type="dxa"/>
              <w:bottom w:w="80" w:type="dxa"/>
              <w:right w:w="80" w:type="dxa"/>
            </w:tcMar>
            <w:vAlign w:val="center"/>
          </w:tcPr>
          <w:p w:rsidR="00991116" w:rsidRPr="00371863" w:rsidRDefault="00991116" w:rsidP="006F7B73">
            <w:pPr>
              <w:rPr>
                <w:i/>
                <w:color w:val="000000" w:themeColor="text1"/>
              </w:rPr>
            </w:pPr>
            <w:r w:rsidRPr="005573B1">
              <w:rPr>
                <w:i/>
                <w:iCs/>
                <w:color w:val="000000" w:themeColor="text1"/>
              </w:rPr>
              <w:t>Major Sports Facilities Act 2001</w:t>
            </w:r>
          </w:p>
        </w:tc>
        <w:tc>
          <w:tcPr>
            <w:tcW w:w="3402" w:type="dxa"/>
            <w:shd w:val="clear" w:color="auto" w:fill="auto"/>
            <w:tcMar>
              <w:top w:w="80" w:type="dxa"/>
              <w:left w:w="80" w:type="dxa"/>
              <w:bottom w:w="80" w:type="dxa"/>
              <w:right w:w="80" w:type="dxa"/>
            </w:tcMar>
            <w:vAlign w:val="center"/>
          </w:tcPr>
          <w:p w:rsidR="00991116" w:rsidRPr="005573B1" w:rsidRDefault="00991116" w:rsidP="006F7B73">
            <w:pPr>
              <w:rPr>
                <w:color w:val="000000" w:themeColor="text1"/>
              </w:rPr>
            </w:pPr>
            <w:r w:rsidRPr="005573B1">
              <w:rPr>
                <w:color w:val="000000" w:themeColor="text1"/>
              </w:rPr>
              <w:t>Annual report to Parliament</w:t>
            </w:r>
          </w:p>
        </w:tc>
      </w:tr>
    </w:tbl>
    <w:p w:rsidR="00991116" w:rsidRDefault="00991116">
      <w:pPr>
        <w:spacing w:before="0" w:after="0"/>
        <w:rPr>
          <w:rFonts w:ascii="Arial" w:hAnsi="Arial" w:cs="Arial"/>
        </w:rPr>
      </w:pPr>
    </w:p>
    <w:p w:rsidR="00A673F5" w:rsidRDefault="00A673F5">
      <w:pPr>
        <w:spacing w:before="0" w:after="0"/>
        <w:rPr>
          <w:rFonts w:asciiTheme="majorHAnsi" w:eastAsiaTheme="majorEastAsia" w:hAnsiTheme="majorHAnsi" w:cstheme="majorBidi"/>
          <w:b/>
          <w:bCs/>
          <w:caps/>
          <w:kern w:val="32"/>
          <w:sz w:val="40"/>
          <w:szCs w:val="32"/>
        </w:rPr>
      </w:pPr>
      <w:r>
        <w:br w:type="page"/>
      </w:r>
    </w:p>
    <w:p w:rsidR="0028598A" w:rsidRPr="00C96F1A" w:rsidRDefault="00B625AF" w:rsidP="00991116">
      <w:pPr>
        <w:pStyle w:val="Heading1"/>
      </w:pPr>
      <w:bookmarkStart w:id="83" w:name="_Toc528845980"/>
      <w:r w:rsidRPr="00C96F1A">
        <w:lastRenderedPageBreak/>
        <w:t xml:space="preserve">Government </w:t>
      </w:r>
      <w:bookmarkStart w:id="84" w:name="GOVERNMENT_BODIES"/>
      <w:r w:rsidRPr="00C96F1A">
        <w:t>bodies</w:t>
      </w:r>
      <w:bookmarkEnd w:id="84"/>
      <w:r w:rsidRPr="00C96F1A">
        <w:t>, boards and committees</w:t>
      </w:r>
      <w:bookmarkEnd w:id="83"/>
    </w:p>
    <w:p w:rsidR="0028598A" w:rsidRPr="00C96F1A" w:rsidRDefault="00B625AF" w:rsidP="00C96F1A">
      <w:pPr>
        <w:rPr>
          <w:rFonts w:ascii="Arial" w:hAnsi="Arial" w:cs="Arial"/>
        </w:rPr>
      </w:pPr>
      <w:r w:rsidRPr="00C96F1A">
        <w:rPr>
          <w:rFonts w:ascii="Arial" w:hAnsi="Arial" w:cs="Arial"/>
        </w:rPr>
        <w:t>The following bodies, boards and committees were active during 2017–18 with reporting arrangements to the department. Additional information on government bodies is available on the department’s website:</w:t>
      </w:r>
    </w:p>
    <w:p w:rsidR="0028598A" w:rsidRPr="00C96F1A" w:rsidRDefault="00470689" w:rsidP="00C96F1A">
      <w:pPr>
        <w:rPr>
          <w:rFonts w:ascii="Arial" w:hAnsi="Arial" w:cs="Arial"/>
        </w:rPr>
      </w:pPr>
      <w:hyperlink r:id="rId26">
        <w:r w:rsidR="00B625AF" w:rsidRPr="00C96F1A">
          <w:rPr>
            <w:rStyle w:val="Hyperlink"/>
            <w:rFonts w:ascii="Arial" w:hAnsi="Arial" w:cs="Arial"/>
          </w:rPr>
          <w:t>www.hpw.qld.gov.au</w:t>
        </w:r>
      </w:hyperlink>
    </w:p>
    <w:p w:rsidR="0028598A" w:rsidRPr="00C96F1A" w:rsidRDefault="00B625AF" w:rsidP="00991116">
      <w:pPr>
        <w:pStyle w:val="Heading6"/>
      </w:pPr>
      <w:r w:rsidRPr="00C96F1A">
        <w:t>Development tribunals</w:t>
      </w:r>
    </w:p>
    <w:p w:rsidR="0028598A" w:rsidRPr="00C96F1A" w:rsidRDefault="00B625AF" w:rsidP="00C96F1A">
      <w:pPr>
        <w:rPr>
          <w:rFonts w:ascii="Arial" w:hAnsi="Arial" w:cs="Arial"/>
        </w:rPr>
      </w:pPr>
      <w:r w:rsidRPr="00C96F1A">
        <w:rPr>
          <w:rFonts w:ascii="Arial" w:hAnsi="Arial" w:cs="Arial"/>
        </w:rPr>
        <w:t>The development tribunals provide a cost effective, timely and accessible non-court based dispute-resolution service for deciding appeals against decisions of local governments and private building certifiers about a range of building, plumbing and planning matters, and infrastructure charges notices.</w:t>
      </w:r>
    </w:p>
    <w:p w:rsidR="0028598A" w:rsidRPr="00C96F1A" w:rsidRDefault="00B625AF" w:rsidP="00C96F1A">
      <w:pPr>
        <w:rPr>
          <w:rFonts w:ascii="Arial" w:hAnsi="Arial" w:cs="Arial"/>
        </w:rPr>
      </w:pPr>
      <w:r w:rsidRPr="00C96F1A">
        <w:rPr>
          <w:rFonts w:ascii="Arial" w:hAnsi="Arial" w:cs="Arial"/>
        </w:rPr>
        <w:t>Referees are appointed by the Minister under the Planning Act 2016 for a maximum term of three years at a time.</w:t>
      </w:r>
    </w:p>
    <w:p w:rsidR="0028598A" w:rsidRPr="00C96F1A" w:rsidRDefault="00B625AF" w:rsidP="00991116">
      <w:pPr>
        <w:pStyle w:val="Heading6"/>
      </w:pPr>
      <w:r w:rsidRPr="00C96F1A">
        <w:t>The Building Industry Fairness Reforms Implementation and Evaluation Panel</w:t>
      </w:r>
    </w:p>
    <w:p w:rsidR="0028598A" w:rsidRPr="00C96F1A" w:rsidRDefault="00B625AF" w:rsidP="00C96F1A">
      <w:pPr>
        <w:rPr>
          <w:rFonts w:ascii="Arial" w:hAnsi="Arial" w:cs="Arial"/>
        </w:rPr>
      </w:pPr>
      <w:r w:rsidRPr="00C96F1A">
        <w:rPr>
          <w:rFonts w:ascii="Arial" w:hAnsi="Arial" w:cs="Arial"/>
        </w:rPr>
        <w:t>On 12 June 2018, the Honourable Mick de Brenni MP, Minister for Housing and Public Works, Minister for Digital Technology and Minister for Sport announced the establishment of the Building Industry Fairness Reforms Implementation and Evaluation Panel.</w:t>
      </w:r>
    </w:p>
    <w:p w:rsidR="0028598A" w:rsidRPr="00C96F1A" w:rsidRDefault="00B625AF" w:rsidP="00C96F1A">
      <w:pPr>
        <w:rPr>
          <w:rFonts w:ascii="Arial" w:hAnsi="Arial" w:cs="Arial"/>
        </w:rPr>
      </w:pPr>
      <w:r w:rsidRPr="00C96F1A">
        <w:rPr>
          <w:rFonts w:ascii="Arial" w:hAnsi="Arial" w:cs="Arial"/>
        </w:rPr>
        <w:t xml:space="preserve">As a requirement of the </w:t>
      </w:r>
      <w:r w:rsidRPr="00991116">
        <w:rPr>
          <w:rFonts w:ascii="Arial" w:hAnsi="Arial" w:cs="Arial"/>
          <w:i/>
        </w:rPr>
        <w:t>Building Industry Fairness (Security of Payment) Act 2017</w:t>
      </w:r>
      <w:r w:rsidRPr="00C96F1A">
        <w:rPr>
          <w:rFonts w:ascii="Arial" w:hAnsi="Arial" w:cs="Arial"/>
        </w:rPr>
        <w:t xml:space="preserve">, the panel has been appointed to evaluate the suite of 2017 building reforms, including </w:t>
      </w:r>
      <w:r w:rsidRPr="00991116">
        <w:rPr>
          <w:rFonts w:ascii="Arial" w:hAnsi="Arial" w:cs="Arial"/>
          <w:i/>
        </w:rPr>
        <w:t>the Building Industry Fairness Act</w:t>
      </w:r>
      <w:r w:rsidRPr="00C96F1A">
        <w:rPr>
          <w:rFonts w:ascii="Arial" w:hAnsi="Arial" w:cs="Arial"/>
        </w:rPr>
        <w:t xml:space="preserve">, and the </w:t>
      </w:r>
      <w:r w:rsidRPr="00991116">
        <w:rPr>
          <w:rFonts w:ascii="Arial" w:hAnsi="Arial" w:cs="Arial"/>
          <w:i/>
        </w:rPr>
        <w:t>Building and Construction Legislation (Non- conforming Building Products – Chain of Responsibility and Other Matters) Act 2017</w:t>
      </w:r>
      <w:r w:rsidRPr="00C96F1A">
        <w:rPr>
          <w:rFonts w:ascii="Arial" w:hAnsi="Arial" w:cs="Arial"/>
        </w:rPr>
        <w:t>.</w:t>
      </w:r>
    </w:p>
    <w:p w:rsidR="0028598A" w:rsidRPr="00C96F1A" w:rsidRDefault="00B625AF" w:rsidP="00C96F1A">
      <w:pPr>
        <w:rPr>
          <w:rFonts w:ascii="Arial" w:hAnsi="Arial" w:cs="Arial"/>
        </w:rPr>
      </w:pPr>
      <w:r w:rsidRPr="00C96F1A">
        <w:rPr>
          <w:rFonts w:ascii="Arial" w:hAnsi="Arial" w:cs="Arial"/>
        </w:rPr>
        <w:t>The panel is chaired by Bronwyn Weir with Jennifer Robertson as Deputy Chair and Troy Lewis and Fionna Aitchison Reid as members.</w:t>
      </w:r>
    </w:p>
    <w:p w:rsidR="0028598A" w:rsidRPr="00C96F1A" w:rsidRDefault="00B625AF" w:rsidP="00991116">
      <w:pPr>
        <w:pStyle w:val="Heading6"/>
      </w:pPr>
      <w:r w:rsidRPr="00C96F1A">
        <w:t>Brisbane Housing Company Ltd</w:t>
      </w:r>
    </w:p>
    <w:p w:rsidR="0028598A" w:rsidRPr="00C96F1A" w:rsidRDefault="00B625AF" w:rsidP="00C96F1A">
      <w:pPr>
        <w:rPr>
          <w:rFonts w:ascii="Arial" w:hAnsi="Arial" w:cs="Arial"/>
        </w:rPr>
      </w:pPr>
      <w:r w:rsidRPr="00C96F1A">
        <w:rPr>
          <w:rFonts w:ascii="Arial" w:hAnsi="Arial" w:cs="Arial"/>
        </w:rPr>
        <w:t>Brisbane Housing Company Ltd is a not-for-profit organisation that delivers affordable housing and mixed tenure developments that incorporate elements of social housing, National Rental Affordability Scheme market for sale product, retail and commercial space.</w:t>
      </w:r>
    </w:p>
    <w:p w:rsidR="0028598A" w:rsidRPr="00C96F1A" w:rsidRDefault="00B625AF" w:rsidP="00C96F1A">
      <w:pPr>
        <w:rPr>
          <w:rFonts w:ascii="Arial" w:hAnsi="Arial" w:cs="Arial"/>
        </w:rPr>
      </w:pPr>
      <w:r w:rsidRPr="00C96F1A">
        <w:rPr>
          <w:rFonts w:ascii="Arial" w:hAnsi="Arial" w:cs="Arial"/>
        </w:rPr>
        <w:t>Brisbane Housing Company Ltd provides quarterly unaudited management accounts, and an annual audited balance sheet and profit and loss account to the department.</w:t>
      </w:r>
    </w:p>
    <w:p w:rsidR="0028598A" w:rsidRPr="00C96F1A" w:rsidRDefault="00B625AF" w:rsidP="00991116">
      <w:pPr>
        <w:pStyle w:val="Heading6"/>
      </w:pPr>
      <w:r w:rsidRPr="00C96F1A">
        <w:t>Queensland Academy of Sport (QAS) Board</w:t>
      </w:r>
    </w:p>
    <w:p w:rsidR="0028598A" w:rsidRPr="00C96F1A" w:rsidRDefault="00B625AF" w:rsidP="00C96F1A">
      <w:pPr>
        <w:rPr>
          <w:rFonts w:ascii="Arial" w:hAnsi="Arial" w:cs="Arial"/>
        </w:rPr>
      </w:pPr>
      <w:r w:rsidRPr="00C96F1A">
        <w:rPr>
          <w:rFonts w:ascii="Arial" w:hAnsi="Arial" w:cs="Arial"/>
        </w:rPr>
        <w:t>The QAS Board provides advice and makes recommendations on policies, plans and practices to develop and nurture high performance sport in Queensland, and the overall direction of QAS.</w:t>
      </w:r>
    </w:p>
    <w:p w:rsidR="0028598A" w:rsidRPr="00C96F1A" w:rsidRDefault="00B625AF" w:rsidP="00C96F1A">
      <w:pPr>
        <w:rPr>
          <w:rFonts w:ascii="Arial" w:hAnsi="Arial" w:cs="Arial"/>
        </w:rPr>
      </w:pPr>
      <w:r w:rsidRPr="00C96F1A">
        <w:rPr>
          <w:rFonts w:ascii="Arial" w:hAnsi="Arial" w:cs="Arial"/>
        </w:rPr>
        <w:t>The board provided expert advice on the National Sports Plan, the proposed amalgamation of the state institutes and</w:t>
      </w:r>
      <w:r w:rsidR="00991116">
        <w:rPr>
          <w:rFonts w:ascii="Arial" w:hAnsi="Arial" w:cs="Arial"/>
        </w:rPr>
        <w:t xml:space="preserve"> </w:t>
      </w:r>
      <w:r w:rsidRPr="00C96F1A">
        <w:rPr>
          <w:rFonts w:ascii="Arial" w:hAnsi="Arial" w:cs="Arial"/>
        </w:rPr>
        <w:t>academies of sports, community engagement activities and the QAS Strategic Plan.</w:t>
      </w:r>
    </w:p>
    <w:p w:rsidR="00CF21E2" w:rsidRDefault="00B625AF" w:rsidP="00C96F1A">
      <w:pPr>
        <w:rPr>
          <w:rFonts w:ascii="Arial" w:hAnsi="Arial" w:cs="Arial"/>
        </w:rPr>
      </w:pPr>
      <w:r w:rsidRPr="00C96F1A">
        <w:rPr>
          <w:rFonts w:ascii="Arial" w:hAnsi="Arial" w:cs="Arial"/>
        </w:rPr>
        <w:t>The board does not have any corporate governance or statutory responsibilities and is not established under legislation.</w:t>
      </w:r>
    </w:p>
    <w:p w:rsidR="00CF21E2" w:rsidRDefault="00CF21E2">
      <w:pPr>
        <w:spacing w:before="0" w:after="0"/>
        <w:rPr>
          <w:rFonts w:ascii="Arial" w:hAnsi="Arial" w:cs="Arial"/>
        </w:rPr>
      </w:pPr>
      <w:r>
        <w:rPr>
          <w:rFonts w:ascii="Arial" w:hAnsi="Arial" w:cs="Arial"/>
        </w:rPr>
        <w:br w:type="page"/>
      </w:r>
    </w:p>
    <w:p w:rsidR="00991116" w:rsidRDefault="009F44BE" w:rsidP="009F44BE">
      <w:pPr>
        <w:pStyle w:val="Heading1"/>
      </w:pPr>
      <w:bookmarkStart w:id="85" w:name="_Toc528845981"/>
      <w:bookmarkStart w:id="86" w:name="OUR_LOCATIONS"/>
      <w:r>
        <w:lastRenderedPageBreak/>
        <w:t>Our Locations</w:t>
      </w:r>
      <w:bookmarkEnd w:id="85"/>
    </w:p>
    <w:bookmarkEnd w:id="86"/>
    <w:p w:rsidR="00991116" w:rsidRPr="00C96F1A" w:rsidRDefault="00991116" w:rsidP="009F44BE">
      <w:pPr>
        <w:pStyle w:val="Heading1"/>
        <w:sectPr w:rsidR="00991116" w:rsidRPr="00C96F1A" w:rsidSect="00C96F1A">
          <w:type w:val="continuous"/>
          <w:pgSz w:w="11910" w:h="16840"/>
          <w:pgMar w:top="1440" w:right="1080" w:bottom="1440" w:left="1080" w:header="720" w:footer="720" w:gutter="0"/>
          <w:cols w:space="720"/>
        </w:sectPr>
      </w:pPr>
    </w:p>
    <w:p w:rsidR="00DA0EC5" w:rsidRPr="00C04E69" w:rsidRDefault="00DA0EC5" w:rsidP="00C04E69">
      <w:pPr>
        <w:pStyle w:val="Heading3"/>
      </w:pPr>
      <w:r w:rsidRPr="00C04E69">
        <w:t xml:space="preserve">Department of Housing and Public Works </w:t>
      </w:r>
    </w:p>
    <w:p w:rsidR="00DA0EC5" w:rsidRPr="00DA0EC5" w:rsidRDefault="00DA0EC5" w:rsidP="009452A5">
      <w:pPr>
        <w:pStyle w:val="Add-Officename"/>
      </w:pPr>
      <w:r w:rsidRPr="00DA0EC5">
        <w:t xml:space="preserve">Head Office </w:t>
      </w:r>
    </w:p>
    <w:p w:rsidR="00DA0EC5" w:rsidRPr="00DA0EC5" w:rsidRDefault="00DA0EC5" w:rsidP="009452A5">
      <w:pPr>
        <w:pStyle w:val="Addressess"/>
      </w:pPr>
      <w:r w:rsidRPr="00DA0EC5">
        <w:t xml:space="preserve">1 William Street </w:t>
      </w:r>
    </w:p>
    <w:p w:rsidR="00DA0EC5" w:rsidRPr="00DA0EC5" w:rsidRDefault="00DA0EC5" w:rsidP="009452A5">
      <w:pPr>
        <w:pStyle w:val="Addressess"/>
      </w:pPr>
      <w:r w:rsidRPr="00DA0EC5">
        <w:t xml:space="preserve">Brisbane, Qld 4000 </w:t>
      </w:r>
    </w:p>
    <w:p w:rsidR="00DA0EC5" w:rsidRPr="00DA0EC5" w:rsidRDefault="00DA0EC5" w:rsidP="009452A5">
      <w:pPr>
        <w:pStyle w:val="Addressess"/>
      </w:pPr>
      <w:r w:rsidRPr="00DA0EC5">
        <w:t xml:space="preserve">GPO Box 2457, Brisbane Qld 4001 </w:t>
      </w:r>
    </w:p>
    <w:p w:rsidR="00DA0EC5" w:rsidRPr="00DA0EC5" w:rsidRDefault="00DA0EC5" w:rsidP="009452A5">
      <w:pPr>
        <w:pStyle w:val="Addressess"/>
      </w:pPr>
      <w:r w:rsidRPr="00DA0EC5">
        <w:t xml:space="preserve">Website: www.hpw.qld.gov.au </w:t>
      </w:r>
    </w:p>
    <w:p w:rsidR="00DA0EC5" w:rsidRPr="009452A5" w:rsidRDefault="00DA0EC5" w:rsidP="009452A5">
      <w:pPr>
        <w:pStyle w:val="Add-Officename"/>
      </w:pPr>
      <w:r w:rsidRPr="009452A5">
        <w:t xml:space="preserve">Corporate Services </w:t>
      </w:r>
    </w:p>
    <w:p w:rsidR="00DA0EC5" w:rsidRPr="00DA0EC5" w:rsidRDefault="00DA0EC5" w:rsidP="009452A5">
      <w:pPr>
        <w:pStyle w:val="Addressess"/>
      </w:pPr>
      <w:r w:rsidRPr="00DA0EC5">
        <w:t xml:space="preserve">AM60 </w:t>
      </w:r>
    </w:p>
    <w:p w:rsidR="00DA0EC5" w:rsidRPr="00DA0EC5" w:rsidRDefault="00DA0EC5" w:rsidP="009452A5">
      <w:pPr>
        <w:pStyle w:val="Addressess"/>
      </w:pPr>
      <w:r w:rsidRPr="00DA0EC5">
        <w:t xml:space="preserve">60 Albert Street </w:t>
      </w:r>
    </w:p>
    <w:p w:rsidR="00DA0EC5" w:rsidRPr="00DA0EC5" w:rsidRDefault="00DA0EC5" w:rsidP="009452A5">
      <w:pPr>
        <w:pStyle w:val="Addressess"/>
      </w:pPr>
      <w:r w:rsidRPr="00DA0EC5">
        <w:t xml:space="preserve">Brisbane Qld 4000 </w:t>
      </w:r>
    </w:p>
    <w:p w:rsidR="00DA0EC5" w:rsidRPr="00DA0EC5" w:rsidRDefault="00DA0EC5" w:rsidP="009452A5">
      <w:pPr>
        <w:pStyle w:val="Addressess"/>
      </w:pPr>
      <w:r w:rsidRPr="00DA0EC5">
        <w:t xml:space="preserve">GPO Box 2457 </w:t>
      </w:r>
    </w:p>
    <w:p w:rsidR="00DA0EC5" w:rsidRPr="00DA0EC5" w:rsidRDefault="00DA0EC5" w:rsidP="009452A5">
      <w:pPr>
        <w:pStyle w:val="Addressess"/>
      </w:pPr>
      <w:r w:rsidRPr="00DA0EC5">
        <w:t xml:space="preserve">Brisbane Qld 4001 </w:t>
      </w:r>
    </w:p>
    <w:p w:rsidR="00DA0EC5" w:rsidRPr="00DA0EC5" w:rsidRDefault="00DA0EC5" w:rsidP="009452A5">
      <w:pPr>
        <w:pStyle w:val="Addressess"/>
      </w:pPr>
      <w:r w:rsidRPr="00DA0EC5">
        <w:t xml:space="preserve">Phone: 07 3008 2901 </w:t>
      </w:r>
    </w:p>
    <w:p w:rsidR="00DA0EC5" w:rsidRPr="00DA0EC5" w:rsidRDefault="00DA0EC5" w:rsidP="009452A5">
      <w:pPr>
        <w:pStyle w:val="Addressess"/>
      </w:pPr>
      <w:r w:rsidRPr="00DA0EC5">
        <w:t xml:space="preserve">Email: oadgcs@hpw.qld.gov.au </w:t>
      </w:r>
    </w:p>
    <w:p w:rsidR="00DA0EC5" w:rsidRPr="009452A5" w:rsidRDefault="00DA0EC5" w:rsidP="00C04E69">
      <w:pPr>
        <w:pStyle w:val="Heading3"/>
        <w:rPr>
          <w:lang w:val="en-AU"/>
        </w:rPr>
      </w:pPr>
      <w:r w:rsidRPr="009452A5">
        <w:rPr>
          <w:lang w:val="en-AU"/>
        </w:rPr>
        <w:t xml:space="preserve">Building and Asset Services office locations </w:t>
      </w:r>
    </w:p>
    <w:p w:rsidR="00DA0EC5" w:rsidRPr="00DA0EC5" w:rsidRDefault="00DA0EC5" w:rsidP="009452A5">
      <w:pPr>
        <w:pStyle w:val="Addressess"/>
      </w:pPr>
      <w:r w:rsidRPr="00DA0EC5">
        <w:t xml:space="preserve">The regional offices are supported by a network of district offices and depots across the state. </w:t>
      </w:r>
    </w:p>
    <w:p w:rsidR="00DA0EC5" w:rsidRPr="00C04E69" w:rsidRDefault="00C04E69" w:rsidP="00C04E69">
      <w:pPr>
        <w:pStyle w:val="Add-Officename"/>
      </w:pPr>
      <w:r w:rsidRPr="00C04E69">
        <w:t xml:space="preserve">Building and asset services </w:t>
      </w:r>
    </w:p>
    <w:p w:rsidR="00DA0EC5" w:rsidRPr="00DA0EC5" w:rsidRDefault="00DA0EC5" w:rsidP="009452A5">
      <w:pPr>
        <w:pStyle w:val="Addressess"/>
      </w:pPr>
      <w:r w:rsidRPr="00DA0EC5">
        <w:t xml:space="preserve">Level 5, AM60, 60 Albert Street, Brisbane Qld 4000 </w:t>
      </w:r>
    </w:p>
    <w:p w:rsidR="00DA0EC5" w:rsidRPr="00DA0EC5" w:rsidRDefault="00DA0EC5" w:rsidP="009452A5">
      <w:pPr>
        <w:pStyle w:val="Addressess"/>
      </w:pPr>
      <w:r w:rsidRPr="00DA0EC5">
        <w:t xml:space="preserve">GPO Box 2937 </w:t>
      </w:r>
    </w:p>
    <w:p w:rsidR="00DA0EC5" w:rsidRPr="00DA0EC5" w:rsidRDefault="00DA0EC5" w:rsidP="009452A5">
      <w:pPr>
        <w:pStyle w:val="Addressess"/>
      </w:pPr>
      <w:r w:rsidRPr="00DA0EC5">
        <w:t xml:space="preserve">Brisbane Qld 4001 </w:t>
      </w:r>
    </w:p>
    <w:p w:rsidR="00DA0EC5" w:rsidRPr="00DA0EC5" w:rsidRDefault="00DA0EC5" w:rsidP="009452A5">
      <w:pPr>
        <w:pStyle w:val="Addressess"/>
      </w:pPr>
      <w:r w:rsidRPr="00DA0EC5">
        <w:t xml:space="preserve">Phone: 07 3008 3300 </w:t>
      </w:r>
    </w:p>
    <w:p w:rsidR="00DA0EC5" w:rsidRPr="00DA0EC5" w:rsidRDefault="00DA0EC5" w:rsidP="009452A5">
      <w:pPr>
        <w:pStyle w:val="Addressess"/>
      </w:pPr>
      <w:r w:rsidRPr="00DA0EC5">
        <w:t xml:space="preserve">Email: bas@hpw.qld.gov.au </w:t>
      </w:r>
    </w:p>
    <w:p w:rsidR="00DA0EC5" w:rsidRPr="00C04E69" w:rsidRDefault="00C04E69" w:rsidP="00C04E69">
      <w:pPr>
        <w:pStyle w:val="Add-Regions"/>
      </w:pPr>
      <w:r w:rsidRPr="00C04E69">
        <w:t xml:space="preserve">SOUTH EAST QUEENSLAND </w:t>
      </w:r>
    </w:p>
    <w:p w:rsidR="00DA0EC5" w:rsidRPr="008D292C" w:rsidRDefault="00DA0EC5" w:rsidP="008D292C">
      <w:pPr>
        <w:pStyle w:val="Add-Officename"/>
        <w:spacing w:after="240"/>
        <w:rPr>
          <w:u w:val="single"/>
        </w:rPr>
      </w:pPr>
      <w:r w:rsidRPr="00C04E69">
        <w:rPr>
          <w:u w:val="single"/>
        </w:rPr>
        <w:t xml:space="preserve">South East Queensland regional offices </w:t>
      </w:r>
    </w:p>
    <w:p w:rsidR="00DA0EC5" w:rsidRPr="00DA0EC5" w:rsidRDefault="00DA0EC5" w:rsidP="00D41807">
      <w:pPr>
        <w:pStyle w:val="Addressess"/>
      </w:pPr>
      <w:r w:rsidRPr="00DA0EC5">
        <w:t xml:space="preserve">45 Barrack Road </w:t>
      </w:r>
    </w:p>
    <w:p w:rsidR="00DA0EC5" w:rsidRPr="00DA0EC5" w:rsidRDefault="00DA0EC5" w:rsidP="00D41807">
      <w:pPr>
        <w:pStyle w:val="Addressess"/>
      </w:pPr>
      <w:r w:rsidRPr="00DA0EC5">
        <w:t xml:space="preserve">PO Box 626 </w:t>
      </w:r>
    </w:p>
    <w:p w:rsidR="00DA0EC5" w:rsidRPr="00DA0EC5" w:rsidRDefault="00DA0EC5" w:rsidP="00D41807">
      <w:pPr>
        <w:pStyle w:val="Addressess"/>
      </w:pPr>
      <w:r w:rsidRPr="00DA0EC5">
        <w:t xml:space="preserve">Cannon Hill Qld 4170 </w:t>
      </w:r>
    </w:p>
    <w:p w:rsidR="00DA0EC5" w:rsidRPr="00DA0EC5" w:rsidRDefault="00DA0EC5" w:rsidP="00D41807">
      <w:pPr>
        <w:pStyle w:val="Addressess"/>
      </w:pPr>
      <w:r w:rsidRPr="00DA0EC5">
        <w:t xml:space="preserve">Phone: 07 3008 2116 </w:t>
      </w:r>
    </w:p>
    <w:p w:rsidR="00DA0EC5" w:rsidRPr="00DA0EC5" w:rsidRDefault="00DA0EC5" w:rsidP="00D41807">
      <w:pPr>
        <w:pStyle w:val="Addressess"/>
      </w:pPr>
      <w:r w:rsidRPr="00DA0EC5">
        <w:t xml:space="preserve">Fax: 07 3906 1722 </w:t>
      </w:r>
    </w:p>
    <w:p w:rsidR="00FC7B26" w:rsidRDefault="00FC7B26" w:rsidP="00D41807">
      <w:pPr>
        <w:pStyle w:val="Addressess"/>
      </w:pPr>
    </w:p>
    <w:p w:rsidR="00DA0EC5" w:rsidRPr="00DA0EC5" w:rsidRDefault="00DA0EC5" w:rsidP="00D41807">
      <w:pPr>
        <w:pStyle w:val="Addressess"/>
      </w:pPr>
      <w:r w:rsidRPr="00DA0EC5">
        <w:t xml:space="preserve">Level 1, 19 Corporate Drive </w:t>
      </w:r>
    </w:p>
    <w:p w:rsidR="00DA0EC5" w:rsidRPr="00DA0EC5" w:rsidRDefault="00DA0EC5" w:rsidP="00D41807">
      <w:pPr>
        <w:pStyle w:val="Addressess"/>
      </w:pPr>
      <w:r w:rsidRPr="00DA0EC5">
        <w:t xml:space="preserve">PO Box 626 </w:t>
      </w:r>
    </w:p>
    <w:p w:rsidR="00DA0EC5" w:rsidRPr="00DA0EC5" w:rsidRDefault="00DA0EC5" w:rsidP="00D41807">
      <w:pPr>
        <w:pStyle w:val="Addressess"/>
      </w:pPr>
      <w:r w:rsidRPr="00DA0EC5">
        <w:t xml:space="preserve">Cannon Hill Qld 4170 </w:t>
      </w:r>
    </w:p>
    <w:p w:rsidR="00DA0EC5" w:rsidRPr="00DA0EC5" w:rsidRDefault="00DA0EC5" w:rsidP="00D41807">
      <w:pPr>
        <w:pStyle w:val="Addressess"/>
      </w:pPr>
      <w:r w:rsidRPr="00DA0EC5">
        <w:t xml:space="preserve">Phone: 1300 650 917 </w:t>
      </w:r>
    </w:p>
    <w:p w:rsidR="00DA0EC5" w:rsidRPr="00C04E69" w:rsidRDefault="00DA0EC5" w:rsidP="008D292C">
      <w:pPr>
        <w:pStyle w:val="Add-type"/>
      </w:pPr>
      <w:r w:rsidRPr="00C04E69">
        <w:t>District offices</w:t>
      </w:r>
    </w:p>
    <w:p w:rsidR="00DA0EC5" w:rsidRPr="00DA0EC5" w:rsidRDefault="00DA0EC5" w:rsidP="00D41807">
      <w:pPr>
        <w:pStyle w:val="Add-Officename"/>
      </w:pPr>
      <w:r w:rsidRPr="00DA0EC5">
        <w:t xml:space="preserve">Sunshine Coast </w:t>
      </w:r>
    </w:p>
    <w:p w:rsidR="00DA0EC5" w:rsidRPr="00DA0EC5" w:rsidRDefault="00DA0EC5" w:rsidP="00C04E69">
      <w:pPr>
        <w:pStyle w:val="Addressess"/>
      </w:pPr>
      <w:r w:rsidRPr="00DA0EC5">
        <w:t xml:space="preserve">14–28 Lee Street </w:t>
      </w:r>
    </w:p>
    <w:p w:rsidR="00DA0EC5" w:rsidRPr="00DA0EC5" w:rsidRDefault="00DA0EC5" w:rsidP="00C04E69">
      <w:pPr>
        <w:pStyle w:val="Addressess"/>
      </w:pPr>
      <w:r w:rsidRPr="00DA0EC5">
        <w:t xml:space="preserve">PO Box 1680 </w:t>
      </w:r>
    </w:p>
    <w:p w:rsidR="00DA0EC5" w:rsidRPr="00DA0EC5" w:rsidRDefault="00DA0EC5" w:rsidP="00C04E69">
      <w:pPr>
        <w:pStyle w:val="Addressess"/>
      </w:pPr>
      <w:r w:rsidRPr="00DA0EC5">
        <w:t xml:space="preserve">Caboolture Qld 4510 </w:t>
      </w:r>
    </w:p>
    <w:p w:rsidR="00DA0EC5" w:rsidRPr="00DA0EC5" w:rsidRDefault="00DA0EC5" w:rsidP="00C04E69">
      <w:pPr>
        <w:pStyle w:val="Addressess"/>
      </w:pPr>
      <w:r w:rsidRPr="00DA0EC5">
        <w:t xml:space="preserve">Phone: 07 5432 0600 </w:t>
      </w:r>
    </w:p>
    <w:p w:rsidR="00DA0EC5" w:rsidRPr="00DA0EC5" w:rsidRDefault="00DA0EC5" w:rsidP="00C04E69">
      <w:pPr>
        <w:pStyle w:val="Addressess"/>
      </w:pPr>
      <w:r w:rsidRPr="00DA0EC5">
        <w:t xml:space="preserve">Fax: 07 5420 2050 </w:t>
      </w:r>
    </w:p>
    <w:p w:rsidR="00DA0EC5" w:rsidRPr="00DA0EC5" w:rsidRDefault="00DA0EC5" w:rsidP="00C04E69">
      <w:pPr>
        <w:pStyle w:val="Add-Officename"/>
      </w:pPr>
      <w:r w:rsidRPr="00DA0EC5">
        <w:t xml:space="preserve">South Coast </w:t>
      </w:r>
    </w:p>
    <w:p w:rsidR="00DA0EC5" w:rsidRPr="00DA0EC5" w:rsidRDefault="00DA0EC5" w:rsidP="00C04E69">
      <w:pPr>
        <w:pStyle w:val="Addressess"/>
      </w:pPr>
      <w:r w:rsidRPr="00DA0EC5">
        <w:t xml:space="preserve">Level 3 Eastside Robina </w:t>
      </w:r>
    </w:p>
    <w:p w:rsidR="00DA0EC5" w:rsidRPr="00DA0EC5" w:rsidRDefault="00DA0EC5" w:rsidP="00C04E69">
      <w:pPr>
        <w:pStyle w:val="Addressess"/>
      </w:pPr>
      <w:r w:rsidRPr="00DA0EC5">
        <w:t xml:space="preserve">232 Robina Town Centre Drive </w:t>
      </w:r>
    </w:p>
    <w:p w:rsidR="00DA0EC5" w:rsidRPr="00DA0EC5" w:rsidRDefault="00DA0EC5" w:rsidP="00C04E69">
      <w:pPr>
        <w:pStyle w:val="Addressess"/>
      </w:pPr>
      <w:r w:rsidRPr="00DA0EC5">
        <w:t xml:space="preserve">Robina Qld 4226 </w:t>
      </w:r>
    </w:p>
    <w:p w:rsidR="00DA0EC5" w:rsidRPr="00DA0EC5" w:rsidRDefault="00DA0EC5" w:rsidP="00C04E69">
      <w:pPr>
        <w:pStyle w:val="Addressess"/>
      </w:pPr>
      <w:r w:rsidRPr="00DA0EC5">
        <w:t xml:space="preserve">PO Box 3156 </w:t>
      </w:r>
    </w:p>
    <w:p w:rsidR="00DA0EC5" w:rsidRPr="00DA0EC5" w:rsidRDefault="00DA0EC5" w:rsidP="00C04E69">
      <w:pPr>
        <w:pStyle w:val="Addressess"/>
      </w:pPr>
      <w:r w:rsidRPr="00DA0EC5">
        <w:t xml:space="preserve">Robina Post Shop </w:t>
      </w:r>
    </w:p>
    <w:p w:rsidR="00DA0EC5" w:rsidRPr="00DA0EC5" w:rsidRDefault="00DA0EC5" w:rsidP="00C04E69">
      <w:pPr>
        <w:pStyle w:val="Addressess"/>
      </w:pPr>
      <w:r w:rsidRPr="00DA0EC5">
        <w:t xml:space="preserve">Robina Town Centre Qld 4230 </w:t>
      </w:r>
    </w:p>
    <w:p w:rsidR="00DA0EC5" w:rsidRPr="00DA0EC5" w:rsidRDefault="00DA0EC5" w:rsidP="00C04E69">
      <w:pPr>
        <w:pStyle w:val="Addressess"/>
      </w:pPr>
      <w:r w:rsidRPr="00DA0EC5">
        <w:t xml:space="preserve">Phone: 07 5514 9400 </w:t>
      </w:r>
    </w:p>
    <w:p w:rsidR="00DA0EC5" w:rsidRPr="00DA0EC5" w:rsidRDefault="00DA0EC5" w:rsidP="00C04E69">
      <w:pPr>
        <w:pStyle w:val="Addressess"/>
      </w:pPr>
      <w:r w:rsidRPr="00DA0EC5">
        <w:t xml:space="preserve">Fax: 07 5583 1943 </w:t>
      </w:r>
    </w:p>
    <w:p w:rsidR="00DA0EC5" w:rsidRPr="00DA0EC5" w:rsidRDefault="00DA0EC5" w:rsidP="00C04E69">
      <w:pPr>
        <w:pStyle w:val="Add-Officename"/>
      </w:pPr>
      <w:r w:rsidRPr="00DA0EC5">
        <w:t xml:space="preserve">Ipswich </w:t>
      </w:r>
    </w:p>
    <w:p w:rsidR="00DA0EC5" w:rsidRPr="00DA0EC5" w:rsidRDefault="00DA0EC5" w:rsidP="00C04E69">
      <w:pPr>
        <w:pStyle w:val="Addressess"/>
      </w:pPr>
      <w:r w:rsidRPr="00DA0EC5">
        <w:t xml:space="preserve">Level 5, 117 Brisbane Street </w:t>
      </w:r>
    </w:p>
    <w:p w:rsidR="00DA0EC5" w:rsidRPr="00DA0EC5" w:rsidRDefault="00DA0EC5" w:rsidP="00C04E69">
      <w:pPr>
        <w:pStyle w:val="Addressess"/>
      </w:pPr>
      <w:r w:rsidRPr="00DA0EC5">
        <w:t xml:space="preserve">PO Box 5 </w:t>
      </w:r>
    </w:p>
    <w:p w:rsidR="00DA0EC5" w:rsidRPr="00DA0EC5" w:rsidRDefault="00DA0EC5" w:rsidP="00C04E69">
      <w:pPr>
        <w:pStyle w:val="Addressess"/>
      </w:pPr>
      <w:r w:rsidRPr="00DA0EC5">
        <w:t xml:space="preserve">Ipswich Qld 4305 </w:t>
      </w:r>
    </w:p>
    <w:p w:rsidR="00DA0EC5" w:rsidRPr="00DA0EC5" w:rsidRDefault="00DA0EC5" w:rsidP="00C04E69">
      <w:pPr>
        <w:pStyle w:val="Addressess"/>
      </w:pPr>
      <w:r w:rsidRPr="00DA0EC5">
        <w:t xml:space="preserve">Phone: 07 3432 2813 </w:t>
      </w:r>
    </w:p>
    <w:p w:rsidR="00DA0EC5" w:rsidRPr="00DA0EC5" w:rsidRDefault="00DA0EC5" w:rsidP="00C04E69">
      <w:pPr>
        <w:pStyle w:val="Add-Officename"/>
      </w:pPr>
      <w:r w:rsidRPr="00DA0EC5">
        <w:t xml:space="preserve">Chermside </w:t>
      </w:r>
    </w:p>
    <w:p w:rsidR="00DA0EC5" w:rsidRPr="00DA0EC5" w:rsidRDefault="00DA0EC5" w:rsidP="00C04E69">
      <w:pPr>
        <w:pStyle w:val="Addressess"/>
      </w:pPr>
      <w:r w:rsidRPr="00DA0EC5">
        <w:t xml:space="preserve">Level 2, 113 Kittyhawk Drive </w:t>
      </w:r>
    </w:p>
    <w:p w:rsidR="00DA0EC5" w:rsidRPr="00DA0EC5" w:rsidRDefault="00DA0EC5" w:rsidP="00C04E69">
      <w:pPr>
        <w:pStyle w:val="Addressess"/>
      </w:pPr>
      <w:r w:rsidRPr="00DA0EC5">
        <w:t xml:space="preserve">Chermside Qld 4032 </w:t>
      </w:r>
    </w:p>
    <w:p w:rsidR="00DA0EC5" w:rsidRPr="00DA0EC5" w:rsidRDefault="00DA0EC5" w:rsidP="00C04E69">
      <w:pPr>
        <w:pStyle w:val="Addressess"/>
      </w:pPr>
      <w:r w:rsidRPr="00DA0EC5">
        <w:t xml:space="preserve">Phone: 07 3008 2116 </w:t>
      </w:r>
    </w:p>
    <w:p w:rsidR="00DA0EC5" w:rsidRPr="00DA0EC5" w:rsidRDefault="00DA0EC5" w:rsidP="00C04E69">
      <w:pPr>
        <w:pStyle w:val="Addressess"/>
      </w:pPr>
      <w:r w:rsidRPr="00DA0EC5">
        <w:t xml:space="preserve">PO Box 2088 </w:t>
      </w:r>
    </w:p>
    <w:p w:rsidR="00DA0EC5" w:rsidRPr="00DA0EC5" w:rsidRDefault="00DA0EC5" w:rsidP="00C04E69">
      <w:pPr>
        <w:pStyle w:val="Addressess"/>
      </w:pPr>
      <w:r w:rsidRPr="00DA0EC5">
        <w:t xml:space="preserve">Chermside Centre </w:t>
      </w:r>
    </w:p>
    <w:p w:rsidR="00DA0EC5" w:rsidRPr="00DA0EC5" w:rsidRDefault="00DA0EC5" w:rsidP="00C04E69">
      <w:pPr>
        <w:pStyle w:val="Addressess"/>
      </w:pPr>
      <w:r w:rsidRPr="00DA0EC5">
        <w:t xml:space="preserve">Chermside Qld 4032 </w:t>
      </w:r>
    </w:p>
    <w:p w:rsidR="00DA0EC5" w:rsidRPr="00C04E69" w:rsidRDefault="00DA0EC5" w:rsidP="00C04E69">
      <w:pPr>
        <w:pStyle w:val="Add-Officename"/>
        <w:rPr>
          <w:u w:val="single"/>
        </w:rPr>
      </w:pPr>
      <w:r w:rsidRPr="00C04E69">
        <w:rPr>
          <w:u w:val="single"/>
        </w:rPr>
        <w:t xml:space="preserve">Depots </w:t>
      </w:r>
    </w:p>
    <w:p w:rsidR="00DA0EC5" w:rsidRPr="00C04E69" w:rsidRDefault="00DA0EC5" w:rsidP="00C04E69">
      <w:pPr>
        <w:pStyle w:val="Add-Officename"/>
      </w:pPr>
      <w:r w:rsidRPr="00C04E69">
        <w:t xml:space="preserve">Beenleigh </w:t>
      </w:r>
    </w:p>
    <w:p w:rsidR="00DA0EC5" w:rsidRPr="00C04E69" w:rsidRDefault="00DA0EC5" w:rsidP="00C04E69">
      <w:pPr>
        <w:pStyle w:val="Addressess"/>
      </w:pPr>
      <w:r w:rsidRPr="00C04E69">
        <w:t xml:space="preserve">George Street </w:t>
      </w:r>
    </w:p>
    <w:p w:rsidR="00DA0EC5" w:rsidRPr="00C04E69" w:rsidRDefault="00DA0EC5" w:rsidP="00C04E69">
      <w:pPr>
        <w:pStyle w:val="Addressess"/>
      </w:pPr>
      <w:r w:rsidRPr="00C04E69">
        <w:t xml:space="preserve">Beenleigh Qld 4207 </w:t>
      </w:r>
    </w:p>
    <w:p w:rsidR="00DA0EC5" w:rsidRPr="00C04E69" w:rsidRDefault="00DA0EC5" w:rsidP="00C04E69">
      <w:pPr>
        <w:pStyle w:val="Addressess"/>
      </w:pPr>
      <w:r w:rsidRPr="00C04E69">
        <w:t xml:space="preserve">(back of Beenleigh State High School) </w:t>
      </w:r>
    </w:p>
    <w:p w:rsidR="00DA0EC5" w:rsidRPr="00C04E69" w:rsidRDefault="00DA0EC5" w:rsidP="00C04E69">
      <w:pPr>
        <w:pStyle w:val="Addressess"/>
      </w:pPr>
      <w:r w:rsidRPr="00C04E69">
        <w:t xml:space="preserve">Phone: 07 3807 6394 </w:t>
      </w:r>
    </w:p>
    <w:p w:rsidR="00DA0EC5" w:rsidRPr="00C04E69" w:rsidRDefault="00DA0EC5" w:rsidP="00C04E69">
      <w:pPr>
        <w:pStyle w:val="Addressess"/>
      </w:pPr>
      <w:r w:rsidRPr="00C04E69">
        <w:t xml:space="preserve">Fax: 07 3287 5788 </w:t>
      </w:r>
    </w:p>
    <w:p w:rsidR="00DA0EC5" w:rsidRPr="00C04E69" w:rsidRDefault="00DA0EC5" w:rsidP="00C04E69">
      <w:pPr>
        <w:pStyle w:val="Add-Officename"/>
      </w:pPr>
      <w:r w:rsidRPr="00C04E69">
        <w:t xml:space="preserve">Borallon </w:t>
      </w:r>
    </w:p>
    <w:p w:rsidR="00DA0EC5" w:rsidRPr="00C04E69" w:rsidRDefault="00DA0EC5" w:rsidP="00C04E69">
      <w:pPr>
        <w:pStyle w:val="Addressess"/>
      </w:pPr>
      <w:r w:rsidRPr="00C04E69">
        <w:t xml:space="preserve">75 Ivan Lane </w:t>
      </w:r>
    </w:p>
    <w:p w:rsidR="00DA0EC5" w:rsidRPr="00C04E69" w:rsidRDefault="00DA0EC5" w:rsidP="00C04E69">
      <w:pPr>
        <w:pStyle w:val="Addressess"/>
      </w:pPr>
      <w:r w:rsidRPr="00C04E69">
        <w:t xml:space="preserve">Ironbark Qld 4306 </w:t>
      </w:r>
    </w:p>
    <w:p w:rsidR="00DA0EC5" w:rsidRPr="00C04E69" w:rsidRDefault="00DA0EC5" w:rsidP="00C04E69">
      <w:pPr>
        <w:pStyle w:val="Addressess"/>
      </w:pPr>
      <w:r w:rsidRPr="00C04E69">
        <w:t xml:space="preserve">Phone: 07 3432 2825 </w:t>
      </w:r>
    </w:p>
    <w:p w:rsidR="00DA0EC5" w:rsidRPr="00C04E69" w:rsidRDefault="00DA0EC5" w:rsidP="00C04E69">
      <w:pPr>
        <w:pStyle w:val="Add-Officename"/>
      </w:pPr>
      <w:r w:rsidRPr="00C04E69">
        <w:t xml:space="preserve">Northgate </w:t>
      </w:r>
    </w:p>
    <w:p w:rsidR="00DA0EC5" w:rsidRPr="00C04E69" w:rsidRDefault="00DA0EC5" w:rsidP="00C04E69">
      <w:pPr>
        <w:pStyle w:val="Addressess"/>
      </w:pPr>
      <w:r w:rsidRPr="00C04E69">
        <w:t xml:space="preserve">36 Fraser Road </w:t>
      </w:r>
    </w:p>
    <w:p w:rsidR="00DA0EC5" w:rsidRPr="00C04E69" w:rsidRDefault="00DA0EC5" w:rsidP="00C04E69">
      <w:pPr>
        <w:pStyle w:val="Addressess"/>
      </w:pPr>
      <w:r w:rsidRPr="00C04E69">
        <w:t xml:space="preserve">Northgate Qld 4013 </w:t>
      </w:r>
    </w:p>
    <w:p w:rsidR="00DA0EC5" w:rsidRPr="00C04E69" w:rsidRDefault="00DA0EC5" w:rsidP="00C04E69">
      <w:pPr>
        <w:pStyle w:val="Addressess"/>
      </w:pPr>
      <w:r w:rsidRPr="00C04E69">
        <w:t xml:space="preserve">Phone: 07 3406 9106 </w:t>
      </w:r>
    </w:p>
    <w:p w:rsidR="00DA0EC5" w:rsidRPr="00C04E69" w:rsidRDefault="00DA0EC5" w:rsidP="00C04E69">
      <w:pPr>
        <w:pStyle w:val="Addressess"/>
      </w:pPr>
      <w:r w:rsidRPr="00C04E69">
        <w:t xml:space="preserve">Fax: 07 3256 6239 </w:t>
      </w:r>
    </w:p>
    <w:p w:rsidR="00DA0EC5" w:rsidRPr="00C04E69" w:rsidRDefault="00DA0EC5" w:rsidP="00C04E69">
      <w:pPr>
        <w:pStyle w:val="Add-Officename"/>
      </w:pPr>
      <w:r w:rsidRPr="00C04E69">
        <w:t xml:space="preserve">Wacol </w:t>
      </w:r>
    </w:p>
    <w:p w:rsidR="00DA0EC5" w:rsidRPr="00C04E69" w:rsidRDefault="00DA0EC5" w:rsidP="00C04E69">
      <w:pPr>
        <w:pStyle w:val="Addressess"/>
      </w:pPr>
      <w:r w:rsidRPr="00C04E69">
        <w:t xml:space="preserve">Old Moreton A Building </w:t>
      </w:r>
    </w:p>
    <w:p w:rsidR="00DA0EC5" w:rsidRPr="00C04E69" w:rsidRDefault="00DA0EC5" w:rsidP="00C04E69">
      <w:pPr>
        <w:pStyle w:val="Addressess"/>
      </w:pPr>
      <w:r w:rsidRPr="00C04E69">
        <w:t xml:space="preserve">260 Wacol Station Road </w:t>
      </w:r>
    </w:p>
    <w:p w:rsidR="00DA0EC5" w:rsidRPr="00C04E69" w:rsidRDefault="00DA0EC5" w:rsidP="00C04E69">
      <w:pPr>
        <w:pStyle w:val="Addressess"/>
      </w:pPr>
      <w:r w:rsidRPr="00C04E69">
        <w:t xml:space="preserve">Wacol Qld 4076 </w:t>
      </w:r>
    </w:p>
    <w:p w:rsidR="00DA0EC5" w:rsidRPr="00C04E69" w:rsidRDefault="00DA0EC5" w:rsidP="00C04E69">
      <w:pPr>
        <w:pStyle w:val="Addressess"/>
      </w:pPr>
      <w:r w:rsidRPr="00C04E69">
        <w:t xml:space="preserve">Phone: 07 3837 6501 </w:t>
      </w:r>
    </w:p>
    <w:p w:rsidR="00DA0EC5" w:rsidRPr="00C04E69" w:rsidRDefault="00C04E69" w:rsidP="007145CA">
      <w:pPr>
        <w:pStyle w:val="Add-Regions"/>
      </w:pPr>
      <w:r w:rsidRPr="00C04E69">
        <w:t xml:space="preserve">WIDE BAY BURNETT </w:t>
      </w:r>
    </w:p>
    <w:p w:rsidR="00DA0EC5" w:rsidRPr="00C04E69" w:rsidRDefault="00DA0EC5" w:rsidP="00C04E69">
      <w:pPr>
        <w:pStyle w:val="Add-Officename"/>
        <w:rPr>
          <w:u w:val="single"/>
        </w:rPr>
      </w:pPr>
      <w:r w:rsidRPr="00C04E69">
        <w:rPr>
          <w:u w:val="single"/>
        </w:rPr>
        <w:t xml:space="preserve">Wide Bay Burnett Regional Office </w:t>
      </w:r>
    </w:p>
    <w:p w:rsidR="00DA0EC5" w:rsidRPr="008D292C" w:rsidRDefault="00DA0EC5" w:rsidP="008D292C">
      <w:pPr>
        <w:pStyle w:val="Add-Officename"/>
      </w:pPr>
      <w:r w:rsidRPr="008D292C">
        <w:t xml:space="preserve">Maryborough </w:t>
      </w:r>
    </w:p>
    <w:p w:rsidR="00DA0EC5" w:rsidRPr="008D292C" w:rsidRDefault="00DA0EC5" w:rsidP="008D292C">
      <w:pPr>
        <w:pStyle w:val="Addressess"/>
      </w:pPr>
      <w:r w:rsidRPr="008D292C">
        <w:t xml:space="preserve">44 Ariadne Street </w:t>
      </w:r>
    </w:p>
    <w:p w:rsidR="00DA0EC5" w:rsidRPr="008D292C" w:rsidRDefault="00DA0EC5" w:rsidP="008D292C">
      <w:pPr>
        <w:pStyle w:val="Addressess"/>
      </w:pPr>
      <w:r w:rsidRPr="008D292C">
        <w:t xml:space="preserve">PO Box 299 </w:t>
      </w:r>
    </w:p>
    <w:p w:rsidR="00DA0EC5" w:rsidRPr="008D292C" w:rsidRDefault="00DA0EC5" w:rsidP="008D292C">
      <w:pPr>
        <w:pStyle w:val="Addressess"/>
      </w:pPr>
      <w:r w:rsidRPr="008D292C">
        <w:t xml:space="preserve">Maryborough Qld 4650 </w:t>
      </w:r>
    </w:p>
    <w:p w:rsidR="00DA0EC5" w:rsidRPr="008D292C" w:rsidRDefault="00DA0EC5" w:rsidP="008D292C">
      <w:pPr>
        <w:pStyle w:val="Addressess"/>
      </w:pPr>
      <w:r w:rsidRPr="008D292C">
        <w:t xml:space="preserve">Phone: 07 4123 9400 </w:t>
      </w:r>
    </w:p>
    <w:p w:rsidR="00DA0EC5" w:rsidRPr="008D292C" w:rsidRDefault="00DA0EC5" w:rsidP="008D292C">
      <w:pPr>
        <w:pStyle w:val="Addressess"/>
      </w:pPr>
      <w:r w:rsidRPr="008D292C">
        <w:t xml:space="preserve">Fax: 07 4121 1948 </w:t>
      </w:r>
    </w:p>
    <w:p w:rsidR="00DA0EC5" w:rsidRPr="008D292C" w:rsidRDefault="00DA0EC5" w:rsidP="008D292C">
      <w:pPr>
        <w:pStyle w:val="Add-type"/>
      </w:pPr>
      <w:r w:rsidRPr="008D292C">
        <w:t xml:space="preserve">District office </w:t>
      </w:r>
    </w:p>
    <w:p w:rsidR="00DA0EC5" w:rsidRPr="008D292C" w:rsidRDefault="00DA0EC5" w:rsidP="008D292C">
      <w:pPr>
        <w:pStyle w:val="Add-Officename"/>
      </w:pPr>
      <w:r w:rsidRPr="008D292C">
        <w:t xml:space="preserve">Bundaberg </w:t>
      </w:r>
    </w:p>
    <w:p w:rsidR="00DA0EC5" w:rsidRPr="008D292C" w:rsidRDefault="00DA0EC5" w:rsidP="008D292C">
      <w:pPr>
        <w:pStyle w:val="Addressess"/>
      </w:pPr>
      <w:r w:rsidRPr="008D292C">
        <w:t xml:space="preserve">85 Dr Mays Road </w:t>
      </w:r>
    </w:p>
    <w:p w:rsidR="00DA0EC5" w:rsidRPr="008D292C" w:rsidRDefault="00DA0EC5" w:rsidP="008D292C">
      <w:pPr>
        <w:pStyle w:val="Addressess"/>
      </w:pPr>
      <w:r w:rsidRPr="008D292C">
        <w:t xml:space="preserve">PO Box 3065 </w:t>
      </w:r>
    </w:p>
    <w:p w:rsidR="00DA0EC5" w:rsidRPr="008D292C" w:rsidRDefault="00DA0EC5" w:rsidP="008D292C">
      <w:pPr>
        <w:pStyle w:val="Addressess"/>
      </w:pPr>
      <w:r w:rsidRPr="008D292C">
        <w:t xml:space="preserve">Bundaberg Qld 4670 </w:t>
      </w:r>
    </w:p>
    <w:p w:rsidR="00DA0EC5" w:rsidRPr="008D292C" w:rsidRDefault="00DA0EC5" w:rsidP="008D292C">
      <w:pPr>
        <w:pStyle w:val="Addressess"/>
      </w:pPr>
      <w:r w:rsidRPr="008D292C">
        <w:t xml:space="preserve">Phone: 07 4158 9700 </w:t>
      </w:r>
    </w:p>
    <w:p w:rsidR="00DA0EC5" w:rsidRPr="008D292C" w:rsidRDefault="00DA0EC5" w:rsidP="008D292C">
      <w:pPr>
        <w:pStyle w:val="Addressess"/>
      </w:pPr>
      <w:r w:rsidRPr="008D292C">
        <w:t xml:space="preserve">Fax: 07 4131 5760 </w:t>
      </w:r>
    </w:p>
    <w:p w:rsidR="00DA0EC5" w:rsidRPr="008D292C" w:rsidRDefault="00DA0EC5" w:rsidP="008D292C">
      <w:pPr>
        <w:pStyle w:val="Addressess"/>
      </w:pPr>
      <w:r w:rsidRPr="008D292C">
        <w:t xml:space="preserve">Depots </w:t>
      </w:r>
    </w:p>
    <w:p w:rsidR="00DA0EC5" w:rsidRPr="008D292C" w:rsidRDefault="00DA0EC5" w:rsidP="008D292C">
      <w:pPr>
        <w:pStyle w:val="Add-Officename"/>
      </w:pPr>
      <w:r w:rsidRPr="008D292C">
        <w:t xml:space="preserve">Bundaberg </w:t>
      </w:r>
    </w:p>
    <w:p w:rsidR="00DA0EC5" w:rsidRPr="008D292C" w:rsidRDefault="00DA0EC5" w:rsidP="008D292C">
      <w:pPr>
        <w:pStyle w:val="Addressess"/>
      </w:pPr>
      <w:r w:rsidRPr="008D292C">
        <w:t xml:space="preserve">85 Dr Mays Road </w:t>
      </w:r>
    </w:p>
    <w:p w:rsidR="00DA0EC5" w:rsidRPr="008D292C" w:rsidRDefault="00DA0EC5" w:rsidP="008D292C">
      <w:pPr>
        <w:pStyle w:val="Addressess"/>
      </w:pPr>
      <w:r w:rsidRPr="008D292C">
        <w:t xml:space="preserve">Bundaberg Qld 4670 </w:t>
      </w:r>
    </w:p>
    <w:p w:rsidR="00DA0EC5" w:rsidRPr="008D292C" w:rsidRDefault="00DA0EC5" w:rsidP="008D292C">
      <w:pPr>
        <w:pStyle w:val="Addressess"/>
      </w:pPr>
      <w:r w:rsidRPr="008D292C">
        <w:t xml:space="preserve">Phone: 07 4158 9700 </w:t>
      </w:r>
    </w:p>
    <w:p w:rsidR="00DA0EC5" w:rsidRPr="008D292C" w:rsidRDefault="00DA0EC5" w:rsidP="008D292C">
      <w:pPr>
        <w:pStyle w:val="Addressess"/>
      </w:pPr>
      <w:r w:rsidRPr="008D292C">
        <w:t xml:space="preserve">Fax: 07 4131 5760 </w:t>
      </w:r>
    </w:p>
    <w:p w:rsidR="00DA0EC5" w:rsidRPr="008D292C" w:rsidRDefault="00DA0EC5" w:rsidP="008D292C">
      <w:pPr>
        <w:pStyle w:val="Add-Officename"/>
      </w:pPr>
      <w:r w:rsidRPr="008D292C">
        <w:t xml:space="preserve">Gympie </w:t>
      </w:r>
    </w:p>
    <w:p w:rsidR="00DA0EC5" w:rsidRPr="008D292C" w:rsidRDefault="00DA0EC5" w:rsidP="008D292C">
      <w:pPr>
        <w:pStyle w:val="Addressess"/>
      </w:pPr>
      <w:r w:rsidRPr="008D292C">
        <w:t xml:space="preserve">8–10 King Street </w:t>
      </w:r>
    </w:p>
    <w:p w:rsidR="00DA0EC5" w:rsidRPr="008D292C" w:rsidRDefault="00DA0EC5" w:rsidP="008D292C">
      <w:pPr>
        <w:pStyle w:val="Addressess"/>
      </w:pPr>
      <w:r w:rsidRPr="008D292C">
        <w:t xml:space="preserve">Gympie Qld 4570 </w:t>
      </w:r>
    </w:p>
    <w:p w:rsidR="00DA0EC5" w:rsidRPr="008D292C" w:rsidRDefault="00DA0EC5" w:rsidP="008D292C">
      <w:pPr>
        <w:pStyle w:val="Addressess"/>
      </w:pPr>
      <w:r w:rsidRPr="008D292C">
        <w:t xml:space="preserve">Phone: 07 5482 1827 </w:t>
      </w:r>
    </w:p>
    <w:p w:rsidR="00DA0EC5" w:rsidRPr="008D292C" w:rsidRDefault="00DA0EC5" w:rsidP="008D292C">
      <w:pPr>
        <w:pStyle w:val="Addressess"/>
      </w:pPr>
      <w:r w:rsidRPr="008D292C">
        <w:t xml:space="preserve">Fax: 07 5482 7681 </w:t>
      </w:r>
    </w:p>
    <w:p w:rsidR="00DA0EC5" w:rsidRPr="008D292C" w:rsidRDefault="00DA0EC5" w:rsidP="008D292C">
      <w:pPr>
        <w:pStyle w:val="Add-Officename"/>
      </w:pPr>
      <w:r w:rsidRPr="008D292C">
        <w:t xml:space="preserve">Kingaroy </w:t>
      </w:r>
    </w:p>
    <w:p w:rsidR="00DA0EC5" w:rsidRPr="008D292C" w:rsidRDefault="00DA0EC5" w:rsidP="008D292C">
      <w:pPr>
        <w:pStyle w:val="Addressess"/>
      </w:pPr>
      <w:r w:rsidRPr="008D292C">
        <w:t xml:space="preserve">51 Prince Street </w:t>
      </w:r>
    </w:p>
    <w:p w:rsidR="00DA0EC5" w:rsidRPr="008D292C" w:rsidRDefault="00DA0EC5" w:rsidP="008D292C">
      <w:pPr>
        <w:pStyle w:val="Addressess"/>
      </w:pPr>
      <w:r w:rsidRPr="008D292C">
        <w:t xml:space="preserve">Kingaroy Qld 4610 </w:t>
      </w:r>
    </w:p>
    <w:p w:rsidR="00DA0EC5" w:rsidRPr="008D292C" w:rsidRDefault="00DA0EC5" w:rsidP="008D292C">
      <w:pPr>
        <w:pStyle w:val="Addressess"/>
      </w:pPr>
      <w:r w:rsidRPr="008D292C">
        <w:t xml:space="preserve">Phone: 07 4162 2129 </w:t>
      </w:r>
    </w:p>
    <w:p w:rsidR="00DA0EC5" w:rsidRPr="008D292C" w:rsidRDefault="00DA0EC5" w:rsidP="008D292C">
      <w:pPr>
        <w:pStyle w:val="Addressess"/>
      </w:pPr>
      <w:r w:rsidRPr="008D292C">
        <w:t xml:space="preserve">Fax: 07 4162 5043 </w:t>
      </w:r>
    </w:p>
    <w:p w:rsidR="00DA0EC5" w:rsidRPr="008D292C" w:rsidRDefault="00DA0EC5" w:rsidP="008D292C">
      <w:pPr>
        <w:pStyle w:val="Add-Officename"/>
      </w:pPr>
      <w:r w:rsidRPr="008D292C">
        <w:t xml:space="preserve">Maryborough </w:t>
      </w:r>
    </w:p>
    <w:p w:rsidR="00DA0EC5" w:rsidRPr="008D292C" w:rsidRDefault="00DA0EC5" w:rsidP="008D292C">
      <w:pPr>
        <w:pStyle w:val="Addressess"/>
      </w:pPr>
      <w:r w:rsidRPr="008D292C">
        <w:t xml:space="preserve">44 Ariadne Street </w:t>
      </w:r>
    </w:p>
    <w:p w:rsidR="00DA0EC5" w:rsidRPr="008D292C" w:rsidRDefault="00DA0EC5" w:rsidP="008D292C">
      <w:pPr>
        <w:pStyle w:val="Addressess"/>
      </w:pPr>
      <w:r w:rsidRPr="008D292C">
        <w:t xml:space="preserve">Maryborough Qld 4650 </w:t>
      </w:r>
    </w:p>
    <w:p w:rsidR="00DA0EC5" w:rsidRPr="008D292C" w:rsidRDefault="00DA0EC5" w:rsidP="008D292C">
      <w:pPr>
        <w:pStyle w:val="Addressess"/>
      </w:pPr>
      <w:r w:rsidRPr="008D292C">
        <w:t xml:space="preserve">Phone: 07 4123 9400 </w:t>
      </w:r>
    </w:p>
    <w:p w:rsidR="00DA0EC5" w:rsidRPr="008D292C" w:rsidRDefault="00DA0EC5" w:rsidP="008D292C">
      <w:pPr>
        <w:pStyle w:val="Addressess"/>
      </w:pPr>
      <w:r w:rsidRPr="008D292C">
        <w:t xml:space="preserve">Fax: 07 4121 1948 </w:t>
      </w:r>
    </w:p>
    <w:p w:rsidR="00FC7B26" w:rsidRPr="008B7210" w:rsidRDefault="00FC7B26" w:rsidP="008B7210">
      <w:pPr>
        <w:pStyle w:val="Add-Regions"/>
      </w:pPr>
      <w:r>
        <w:br w:type="page"/>
      </w:r>
    </w:p>
    <w:p w:rsidR="00DA0EC5" w:rsidRPr="00C04E69" w:rsidRDefault="00DA0EC5" w:rsidP="008B7210">
      <w:pPr>
        <w:pStyle w:val="Add-Regions"/>
      </w:pPr>
      <w:r w:rsidRPr="00C04E69">
        <w:lastRenderedPageBreak/>
        <w:t xml:space="preserve">South West Queensland </w:t>
      </w:r>
    </w:p>
    <w:p w:rsidR="00DA0EC5" w:rsidRPr="00DA0EC5" w:rsidRDefault="00DA0EC5" w:rsidP="008D292C">
      <w:pPr>
        <w:pStyle w:val="Add-type"/>
      </w:pPr>
      <w:r w:rsidRPr="00DA0EC5">
        <w:t xml:space="preserve">South West Queensland Regional Office </w:t>
      </w:r>
    </w:p>
    <w:p w:rsidR="00DA0EC5" w:rsidRPr="00140085" w:rsidRDefault="00DA0EC5" w:rsidP="00140085">
      <w:pPr>
        <w:pStyle w:val="Add-Officename"/>
      </w:pPr>
      <w:r w:rsidRPr="00140085">
        <w:t xml:space="preserve">Toowoomba </w:t>
      </w:r>
    </w:p>
    <w:p w:rsidR="00DA0EC5" w:rsidRPr="00140085" w:rsidRDefault="00DA0EC5" w:rsidP="00140085">
      <w:pPr>
        <w:pStyle w:val="Addressess"/>
      </w:pPr>
      <w:r w:rsidRPr="00140085">
        <w:t xml:space="preserve">120-124 Mort Street </w:t>
      </w:r>
    </w:p>
    <w:p w:rsidR="00DA0EC5" w:rsidRPr="00140085" w:rsidRDefault="00DA0EC5" w:rsidP="00140085">
      <w:pPr>
        <w:pStyle w:val="Addressess"/>
      </w:pPr>
      <w:r w:rsidRPr="00140085">
        <w:t xml:space="preserve">PO Box 666 </w:t>
      </w:r>
    </w:p>
    <w:p w:rsidR="00DA0EC5" w:rsidRPr="00140085" w:rsidRDefault="00DA0EC5" w:rsidP="00140085">
      <w:pPr>
        <w:pStyle w:val="Addressess"/>
      </w:pPr>
      <w:r w:rsidRPr="00140085">
        <w:t xml:space="preserve">Toowoomba Qld 4350 </w:t>
      </w:r>
    </w:p>
    <w:p w:rsidR="00DA0EC5" w:rsidRPr="00140085" w:rsidRDefault="00DA0EC5" w:rsidP="00140085">
      <w:pPr>
        <w:pStyle w:val="Addressess"/>
      </w:pPr>
      <w:r w:rsidRPr="00140085">
        <w:t xml:space="preserve">Phone: 07 4614 2300 </w:t>
      </w:r>
    </w:p>
    <w:p w:rsidR="00DA0EC5" w:rsidRPr="00140085" w:rsidRDefault="00DA0EC5" w:rsidP="00140085">
      <w:pPr>
        <w:pStyle w:val="Addressess"/>
      </w:pPr>
      <w:r w:rsidRPr="00140085">
        <w:t xml:space="preserve">Fax: 07 4615 3529 </w:t>
      </w:r>
    </w:p>
    <w:p w:rsidR="00DA0EC5" w:rsidRPr="00DA0EC5" w:rsidRDefault="00DA0EC5" w:rsidP="007145CA">
      <w:pPr>
        <w:pStyle w:val="Add-type"/>
      </w:pPr>
      <w:r w:rsidRPr="00DA0EC5">
        <w:t xml:space="preserve">District office </w:t>
      </w:r>
    </w:p>
    <w:p w:rsidR="00DA0EC5" w:rsidRPr="007145CA" w:rsidRDefault="00DA0EC5" w:rsidP="007145CA">
      <w:pPr>
        <w:pStyle w:val="Add-Officename"/>
      </w:pPr>
      <w:r w:rsidRPr="007145CA">
        <w:t xml:space="preserve">Charleville </w:t>
      </w:r>
    </w:p>
    <w:p w:rsidR="00DA0EC5" w:rsidRPr="007145CA" w:rsidRDefault="00DA0EC5" w:rsidP="007145CA">
      <w:pPr>
        <w:pStyle w:val="Addressess"/>
      </w:pPr>
      <w:r w:rsidRPr="007145CA">
        <w:t xml:space="preserve">46 Edward Street </w:t>
      </w:r>
    </w:p>
    <w:p w:rsidR="00DA0EC5" w:rsidRPr="007145CA" w:rsidRDefault="00DA0EC5" w:rsidP="007145CA">
      <w:pPr>
        <w:pStyle w:val="Addressess"/>
      </w:pPr>
      <w:r w:rsidRPr="007145CA">
        <w:t xml:space="preserve">PO Box 177 </w:t>
      </w:r>
    </w:p>
    <w:p w:rsidR="00DA0EC5" w:rsidRPr="007145CA" w:rsidRDefault="00DA0EC5" w:rsidP="007145CA">
      <w:pPr>
        <w:pStyle w:val="Addressess"/>
      </w:pPr>
      <w:r w:rsidRPr="007145CA">
        <w:t xml:space="preserve">Charleville Qld 4470 </w:t>
      </w:r>
    </w:p>
    <w:p w:rsidR="00DA0EC5" w:rsidRPr="007145CA" w:rsidRDefault="00DA0EC5" w:rsidP="007145CA">
      <w:pPr>
        <w:pStyle w:val="Addressess"/>
      </w:pPr>
      <w:r w:rsidRPr="007145CA">
        <w:t xml:space="preserve">Phone: 07 4593 2200 </w:t>
      </w:r>
    </w:p>
    <w:p w:rsidR="00DA0EC5" w:rsidRPr="007145CA" w:rsidRDefault="00DA0EC5" w:rsidP="007145CA">
      <w:pPr>
        <w:pStyle w:val="Addressess"/>
      </w:pPr>
      <w:r w:rsidRPr="007145CA">
        <w:t xml:space="preserve">Fax: 07 4656 5069 </w:t>
      </w:r>
    </w:p>
    <w:p w:rsidR="00DA0EC5" w:rsidRPr="007145CA" w:rsidRDefault="00DA0EC5" w:rsidP="007145CA">
      <w:pPr>
        <w:pStyle w:val="Add-Officename"/>
      </w:pPr>
      <w:r w:rsidRPr="007145CA">
        <w:t xml:space="preserve">Roma </w:t>
      </w:r>
    </w:p>
    <w:p w:rsidR="00DA0EC5" w:rsidRPr="007145CA" w:rsidRDefault="00DA0EC5" w:rsidP="007145CA">
      <w:pPr>
        <w:pStyle w:val="Addressess"/>
      </w:pPr>
      <w:r w:rsidRPr="007145CA">
        <w:t xml:space="preserve">62 Arthur Street </w:t>
      </w:r>
    </w:p>
    <w:p w:rsidR="00DA0EC5" w:rsidRPr="007145CA" w:rsidRDefault="00DA0EC5" w:rsidP="007145CA">
      <w:pPr>
        <w:pStyle w:val="Addressess"/>
      </w:pPr>
      <w:r w:rsidRPr="007145CA">
        <w:t xml:space="preserve">P0 Box 1029 </w:t>
      </w:r>
    </w:p>
    <w:p w:rsidR="00DA0EC5" w:rsidRPr="007145CA" w:rsidRDefault="00DA0EC5" w:rsidP="007145CA">
      <w:pPr>
        <w:pStyle w:val="Addressess"/>
      </w:pPr>
      <w:r w:rsidRPr="007145CA">
        <w:t xml:space="preserve">Roma Qld 4455 </w:t>
      </w:r>
    </w:p>
    <w:p w:rsidR="00DA0EC5" w:rsidRPr="007145CA" w:rsidRDefault="00DA0EC5" w:rsidP="007145CA">
      <w:pPr>
        <w:pStyle w:val="Addressess"/>
      </w:pPr>
      <w:r w:rsidRPr="007145CA">
        <w:t xml:space="preserve">Phone: 07 4578 4000 </w:t>
      </w:r>
    </w:p>
    <w:p w:rsidR="00DA0EC5" w:rsidRPr="007145CA" w:rsidRDefault="00DA0EC5" w:rsidP="007145CA">
      <w:pPr>
        <w:pStyle w:val="Addressess"/>
      </w:pPr>
      <w:r w:rsidRPr="007145CA">
        <w:t>Fax: 07 4624 3009</w:t>
      </w:r>
    </w:p>
    <w:p w:rsidR="00DA0EC5" w:rsidRPr="00DA0EC5" w:rsidRDefault="00DA0EC5" w:rsidP="007145CA">
      <w:pPr>
        <w:pStyle w:val="Add-type"/>
      </w:pPr>
      <w:r w:rsidRPr="00DA0EC5">
        <w:t xml:space="preserve">Depots </w:t>
      </w:r>
    </w:p>
    <w:p w:rsidR="00DA0EC5" w:rsidRPr="007145CA" w:rsidRDefault="00DA0EC5" w:rsidP="007145CA">
      <w:pPr>
        <w:pStyle w:val="Addressess"/>
      </w:pPr>
      <w:r w:rsidRPr="007145CA">
        <w:t xml:space="preserve">Toowoomba </w:t>
      </w:r>
    </w:p>
    <w:p w:rsidR="00DA0EC5" w:rsidRPr="007145CA" w:rsidRDefault="00DA0EC5" w:rsidP="007145CA">
      <w:pPr>
        <w:pStyle w:val="Addressess"/>
      </w:pPr>
      <w:r w:rsidRPr="007145CA">
        <w:t xml:space="preserve">120–124 Mort Street </w:t>
      </w:r>
    </w:p>
    <w:p w:rsidR="00DA0EC5" w:rsidRPr="007145CA" w:rsidRDefault="00DA0EC5" w:rsidP="007145CA">
      <w:pPr>
        <w:pStyle w:val="Addressess"/>
      </w:pPr>
      <w:r w:rsidRPr="007145CA">
        <w:t xml:space="preserve">Toowoomba Qld 4350 </w:t>
      </w:r>
    </w:p>
    <w:p w:rsidR="00DA0EC5" w:rsidRPr="007145CA" w:rsidRDefault="00DA0EC5" w:rsidP="007145CA">
      <w:pPr>
        <w:pStyle w:val="Addressess"/>
      </w:pPr>
      <w:r w:rsidRPr="007145CA">
        <w:t xml:space="preserve">Phone: 07 4614 2300 </w:t>
      </w:r>
    </w:p>
    <w:p w:rsidR="00DA0EC5" w:rsidRPr="007145CA" w:rsidRDefault="00DA0EC5" w:rsidP="007145CA">
      <w:pPr>
        <w:pStyle w:val="Add-Officename"/>
      </w:pPr>
      <w:r w:rsidRPr="007145CA">
        <w:t xml:space="preserve">Charleville </w:t>
      </w:r>
    </w:p>
    <w:p w:rsidR="00DA0EC5" w:rsidRPr="007145CA" w:rsidRDefault="00DA0EC5" w:rsidP="007145CA">
      <w:pPr>
        <w:pStyle w:val="Addressess"/>
      </w:pPr>
      <w:r w:rsidRPr="007145CA">
        <w:t xml:space="preserve">46 Edward Street </w:t>
      </w:r>
    </w:p>
    <w:p w:rsidR="00DA0EC5" w:rsidRPr="007145CA" w:rsidRDefault="00DA0EC5" w:rsidP="007145CA">
      <w:pPr>
        <w:pStyle w:val="Addressess"/>
      </w:pPr>
      <w:r w:rsidRPr="007145CA">
        <w:t xml:space="preserve">Charleville Qld 4470 </w:t>
      </w:r>
    </w:p>
    <w:p w:rsidR="00DA0EC5" w:rsidRPr="007145CA" w:rsidRDefault="00DA0EC5" w:rsidP="007145CA">
      <w:pPr>
        <w:pStyle w:val="Addressess"/>
      </w:pPr>
      <w:r w:rsidRPr="007145CA">
        <w:t xml:space="preserve">Phone: 07 4593 2200 </w:t>
      </w:r>
    </w:p>
    <w:p w:rsidR="00DA0EC5" w:rsidRPr="007145CA" w:rsidRDefault="00DA0EC5" w:rsidP="007145CA">
      <w:pPr>
        <w:pStyle w:val="Add-Officename"/>
      </w:pPr>
      <w:r w:rsidRPr="007145CA">
        <w:t xml:space="preserve">Chinchilla </w:t>
      </w:r>
    </w:p>
    <w:p w:rsidR="00DA0EC5" w:rsidRPr="007145CA" w:rsidRDefault="00DA0EC5" w:rsidP="007145CA">
      <w:pPr>
        <w:pStyle w:val="Addressess"/>
      </w:pPr>
      <w:r w:rsidRPr="007145CA">
        <w:t xml:space="preserve">Leichardt Street </w:t>
      </w:r>
    </w:p>
    <w:p w:rsidR="00DA0EC5" w:rsidRPr="007145CA" w:rsidRDefault="00DA0EC5" w:rsidP="007145CA">
      <w:pPr>
        <w:pStyle w:val="Addressess"/>
      </w:pPr>
      <w:r w:rsidRPr="007145CA">
        <w:t xml:space="preserve">Chinchilla Qld 4470 </w:t>
      </w:r>
    </w:p>
    <w:p w:rsidR="00DA0EC5" w:rsidRPr="007145CA" w:rsidRDefault="00DA0EC5" w:rsidP="007145CA">
      <w:pPr>
        <w:pStyle w:val="Addressess"/>
      </w:pPr>
      <w:r w:rsidRPr="007145CA">
        <w:t xml:space="preserve">Phone/Fax: 07 4668 9884 </w:t>
      </w:r>
    </w:p>
    <w:p w:rsidR="00DA0EC5" w:rsidRPr="007145CA" w:rsidRDefault="00DA0EC5" w:rsidP="007145CA">
      <w:pPr>
        <w:pStyle w:val="Add-Officename"/>
      </w:pPr>
      <w:r w:rsidRPr="007145CA">
        <w:t xml:space="preserve">Roma </w:t>
      </w:r>
    </w:p>
    <w:p w:rsidR="00DA0EC5" w:rsidRPr="007145CA" w:rsidRDefault="00DA0EC5" w:rsidP="007145CA">
      <w:pPr>
        <w:pStyle w:val="Addressess"/>
      </w:pPr>
      <w:r w:rsidRPr="007145CA">
        <w:t xml:space="preserve">62 Arthur Street </w:t>
      </w:r>
    </w:p>
    <w:p w:rsidR="00DA0EC5" w:rsidRPr="007145CA" w:rsidRDefault="00DA0EC5" w:rsidP="007145CA">
      <w:pPr>
        <w:pStyle w:val="Addressess"/>
      </w:pPr>
      <w:r w:rsidRPr="007145CA">
        <w:t xml:space="preserve">Roma Qld 4455 </w:t>
      </w:r>
    </w:p>
    <w:p w:rsidR="00DA0EC5" w:rsidRPr="007145CA" w:rsidRDefault="00DA0EC5" w:rsidP="007145CA">
      <w:pPr>
        <w:pStyle w:val="Addressess"/>
      </w:pPr>
      <w:r w:rsidRPr="007145CA">
        <w:t xml:space="preserve">Phone: 07 4578 4000 </w:t>
      </w:r>
    </w:p>
    <w:p w:rsidR="00DA0EC5" w:rsidRPr="007145CA" w:rsidRDefault="008B7210" w:rsidP="008B7210">
      <w:pPr>
        <w:pStyle w:val="Add-Regions"/>
        <w:spacing w:before="0"/>
      </w:pPr>
      <w:r>
        <w:br w:type="column"/>
      </w:r>
      <w:r w:rsidR="00DA0EC5" w:rsidRPr="007145CA">
        <w:t xml:space="preserve">Central Queensland </w:t>
      </w:r>
    </w:p>
    <w:p w:rsidR="00DA0EC5" w:rsidRPr="00DA0EC5" w:rsidRDefault="00DA0EC5" w:rsidP="007145CA">
      <w:pPr>
        <w:pStyle w:val="Add-type"/>
      </w:pPr>
      <w:r w:rsidRPr="00DA0EC5">
        <w:t xml:space="preserve">Central Queensland Regional Office </w:t>
      </w:r>
    </w:p>
    <w:p w:rsidR="00DA0EC5" w:rsidRPr="007145CA" w:rsidRDefault="00DA0EC5" w:rsidP="007145CA">
      <w:pPr>
        <w:pStyle w:val="Add-Officename"/>
      </w:pPr>
      <w:r w:rsidRPr="007145CA">
        <w:t xml:space="preserve">Rockhampton </w:t>
      </w:r>
    </w:p>
    <w:p w:rsidR="00DA0EC5" w:rsidRPr="007145CA" w:rsidRDefault="00DA0EC5" w:rsidP="007145CA">
      <w:pPr>
        <w:pStyle w:val="Addressess"/>
      </w:pPr>
      <w:r w:rsidRPr="007145CA">
        <w:t xml:space="preserve">149 Bolsover Street </w:t>
      </w:r>
    </w:p>
    <w:p w:rsidR="00DA0EC5" w:rsidRPr="007145CA" w:rsidRDefault="00DA0EC5" w:rsidP="007145CA">
      <w:pPr>
        <w:pStyle w:val="Addressess"/>
      </w:pPr>
      <w:r w:rsidRPr="007145CA">
        <w:t xml:space="preserve">PO Box 247 </w:t>
      </w:r>
    </w:p>
    <w:p w:rsidR="00DA0EC5" w:rsidRPr="007145CA" w:rsidRDefault="00DA0EC5" w:rsidP="007145CA">
      <w:pPr>
        <w:pStyle w:val="Addressess"/>
      </w:pPr>
      <w:r w:rsidRPr="007145CA">
        <w:t xml:space="preserve">Rockhampton 4700 </w:t>
      </w:r>
    </w:p>
    <w:p w:rsidR="00DA0EC5" w:rsidRPr="007145CA" w:rsidRDefault="00DA0EC5" w:rsidP="007145CA">
      <w:pPr>
        <w:pStyle w:val="Addressess"/>
      </w:pPr>
      <w:r w:rsidRPr="007145CA">
        <w:t xml:space="preserve">Phone: 07 4838 9600 </w:t>
      </w:r>
    </w:p>
    <w:p w:rsidR="00DA0EC5" w:rsidRPr="007145CA" w:rsidRDefault="00DA0EC5" w:rsidP="007145CA">
      <w:pPr>
        <w:pStyle w:val="Addressess"/>
      </w:pPr>
      <w:r w:rsidRPr="007145CA">
        <w:t xml:space="preserve">Fax: 07 4938 4831 </w:t>
      </w:r>
    </w:p>
    <w:p w:rsidR="00DA0EC5" w:rsidRPr="00DA0EC5" w:rsidRDefault="00DA0EC5" w:rsidP="007145CA">
      <w:pPr>
        <w:pStyle w:val="Add-type"/>
      </w:pPr>
      <w:r w:rsidRPr="00DA0EC5">
        <w:t xml:space="preserve">District office </w:t>
      </w:r>
    </w:p>
    <w:p w:rsidR="00DA0EC5" w:rsidRPr="007145CA" w:rsidRDefault="00DA0EC5" w:rsidP="007145CA">
      <w:pPr>
        <w:pStyle w:val="Add-Officename"/>
      </w:pPr>
      <w:r w:rsidRPr="007145CA">
        <w:t xml:space="preserve">Emerald </w:t>
      </w:r>
    </w:p>
    <w:p w:rsidR="00DA0EC5" w:rsidRPr="007145CA" w:rsidRDefault="00DA0EC5" w:rsidP="007145CA">
      <w:pPr>
        <w:pStyle w:val="Addressess"/>
      </w:pPr>
      <w:r w:rsidRPr="007145CA">
        <w:t xml:space="preserve">14 McKenzie Street </w:t>
      </w:r>
    </w:p>
    <w:p w:rsidR="00DA0EC5" w:rsidRPr="007145CA" w:rsidRDefault="00DA0EC5" w:rsidP="007145CA">
      <w:pPr>
        <w:pStyle w:val="Addressess"/>
      </w:pPr>
      <w:r w:rsidRPr="007145CA">
        <w:t xml:space="preserve">PO Box 1012 </w:t>
      </w:r>
    </w:p>
    <w:p w:rsidR="00DA0EC5" w:rsidRPr="007145CA" w:rsidRDefault="00DA0EC5" w:rsidP="007145CA">
      <w:pPr>
        <w:pStyle w:val="Addressess"/>
      </w:pPr>
      <w:r w:rsidRPr="007145CA">
        <w:t xml:space="preserve">Emerald 4720 </w:t>
      </w:r>
    </w:p>
    <w:p w:rsidR="00DA0EC5" w:rsidRPr="007145CA" w:rsidRDefault="00DA0EC5" w:rsidP="007145CA">
      <w:pPr>
        <w:pStyle w:val="Addressess"/>
      </w:pPr>
      <w:r w:rsidRPr="007145CA">
        <w:t xml:space="preserve">Phone: 07 4988 1204 </w:t>
      </w:r>
    </w:p>
    <w:p w:rsidR="00DA0EC5" w:rsidRPr="007145CA" w:rsidRDefault="00DA0EC5" w:rsidP="007145CA">
      <w:pPr>
        <w:pStyle w:val="Addressess"/>
      </w:pPr>
      <w:r w:rsidRPr="007145CA">
        <w:t xml:space="preserve">Fax: 07 4983 7451 </w:t>
      </w:r>
    </w:p>
    <w:p w:rsidR="00DA0EC5" w:rsidRPr="007145CA" w:rsidRDefault="00DA0EC5" w:rsidP="007145CA">
      <w:pPr>
        <w:pStyle w:val="Add-Officename"/>
      </w:pPr>
      <w:r w:rsidRPr="007145CA">
        <w:t xml:space="preserve">Gladstone </w:t>
      </w:r>
    </w:p>
    <w:p w:rsidR="00DA0EC5" w:rsidRPr="007145CA" w:rsidRDefault="00DA0EC5" w:rsidP="007145CA">
      <w:pPr>
        <w:pStyle w:val="Addressess"/>
      </w:pPr>
      <w:r w:rsidRPr="007145CA">
        <w:t xml:space="preserve">7 Soppa Street </w:t>
      </w:r>
    </w:p>
    <w:p w:rsidR="00DA0EC5" w:rsidRPr="007145CA" w:rsidRDefault="00DA0EC5" w:rsidP="007145CA">
      <w:pPr>
        <w:pStyle w:val="Addressess"/>
      </w:pPr>
      <w:r w:rsidRPr="007145CA">
        <w:t xml:space="preserve">Gladstone Qld 4680 </w:t>
      </w:r>
    </w:p>
    <w:p w:rsidR="00DA0EC5" w:rsidRPr="007145CA" w:rsidRDefault="00DA0EC5" w:rsidP="007145CA">
      <w:pPr>
        <w:pStyle w:val="Addressess"/>
      </w:pPr>
      <w:r w:rsidRPr="007145CA">
        <w:t xml:space="preserve">Phone: 07 4977 7103 </w:t>
      </w:r>
    </w:p>
    <w:p w:rsidR="00DA0EC5" w:rsidRPr="007145CA" w:rsidRDefault="00DA0EC5" w:rsidP="007145CA">
      <w:pPr>
        <w:pStyle w:val="Addressess"/>
      </w:pPr>
      <w:r w:rsidRPr="007145CA">
        <w:t xml:space="preserve">Fax: 07 4979 2155 </w:t>
      </w:r>
    </w:p>
    <w:p w:rsidR="00DA0EC5" w:rsidRPr="007145CA" w:rsidRDefault="00DA0EC5" w:rsidP="007145CA">
      <w:pPr>
        <w:pStyle w:val="Add-Officename"/>
      </w:pPr>
      <w:r w:rsidRPr="007145CA">
        <w:t xml:space="preserve">Mackay </w:t>
      </w:r>
    </w:p>
    <w:p w:rsidR="00DA0EC5" w:rsidRPr="007145CA" w:rsidRDefault="00DA0EC5" w:rsidP="007145CA">
      <w:pPr>
        <w:pStyle w:val="Addressess"/>
      </w:pPr>
      <w:r w:rsidRPr="007145CA">
        <w:t xml:space="preserve">36 Tennyson Street </w:t>
      </w:r>
    </w:p>
    <w:p w:rsidR="00DA0EC5" w:rsidRPr="007145CA" w:rsidRDefault="00DA0EC5" w:rsidP="007145CA">
      <w:pPr>
        <w:pStyle w:val="Addressess"/>
      </w:pPr>
      <w:r w:rsidRPr="007145CA">
        <w:t xml:space="preserve">PO Box 86 </w:t>
      </w:r>
    </w:p>
    <w:p w:rsidR="00DA0EC5" w:rsidRPr="007145CA" w:rsidRDefault="00DA0EC5" w:rsidP="007145CA">
      <w:pPr>
        <w:pStyle w:val="Addressess"/>
      </w:pPr>
      <w:r w:rsidRPr="007145CA">
        <w:t xml:space="preserve">Mackay Qld 4740 </w:t>
      </w:r>
    </w:p>
    <w:p w:rsidR="00DA0EC5" w:rsidRPr="007145CA" w:rsidRDefault="00DA0EC5" w:rsidP="007145CA">
      <w:pPr>
        <w:pStyle w:val="Addressess"/>
      </w:pPr>
      <w:r w:rsidRPr="007145CA">
        <w:t xml:space="preserve">Phone: 07 4862 7500 </w:t>
      </w:r>
    </w:p>
    <w:p w:rsidR="00DA0EC5" w:rsidRPr="007145CA" w:rsidRDefault="00DA0EC5" w:rsidP="007145CA">
      <w:pPr>
        <w:pStyle w:val="Addressess"/>
      </w:pPr>
      <w:r w:rsidRPr="007145CA">
        <w:t xml:space="preserve">Fax: 07 4967 1031 </w:t>
      </w:r>
    </w:p>
    <w:p w:rsidR="00DA0EC5" w:rsidRPr="007145CA" w:rsidRDefault="00DA0EC5" w:rsidP="007145CA">
      <w:pPr>
        <w:pStyle w:val="Add-Officename"/>
      </w:pPr>
      <w:r w:rsidRPr="007145CA">
        <w:t xml:space="preserve">Longreach </w:t>
      </w:r>
    </w:p>
    <w:p w:rsidR="00DA0EC5" w:rsidRPr="007145CA" w:rsidRDefault="00DA0EC5" w:rsidP="007145CA">
      <w:pPr>
        <w:pStyle w:val="Addressess"/>
      </w:pPr>
      <w:r w:rsidRPr="007145CA">
        <w:t xml:space="preserve">91 Galah Street </w:t>
      </w:r>
    </w:p>
    <w:p w:rsidR="00DA0EC5" w:rsidRPr="007145CA" w:rsidRDefault="00DA0EC5" w:rsidP="007145CA">
      <w:pPr>
        <w:pStyle w:val="Addressess"/>
      </w:pPr>
      <w:r w:rsidRPr="007145CA">
        <w:t xml:space="preserve">Longreach Qld 4730 </w:t>
      </w:r>
    </w:p>
    <w:p w:rsidR="00DA0EC5" w:rsidRPr="007145CA" w:rsidRDefault="00DA0EC5" w:rsidP="007145CA">
      <w:pPr>
        <w:pStyle w:val="Addressess"/>
      </w:pPr>
      <w:r w:rsidRPr="007145CA">
        <w:t xml:space="preserve">Phone: 07 4658 3718 </w:t>
      </w:r>
    </w:p>
    <w:p w:rsidR="00DA0EC5" w:rsidRPr="00DA0EC5" w:rsidRDefault="00DA0EC5" w:rsidP="007145CA">
      <w:pPr>
        <w:pStyle w:val="Add-type"/>
      </w:pPr>
      <w:r w:rsidRPr="00DA0EC5">
        <w:t xml:space="preserve">Depots </w:t>
      </w:r>
    </w:p>
    <w:p w:rsidR="00DA0EC5" w:rsidRPr="007145CA" w:rsidRDefault="00DA0EC5" w:rsidP="007145CA">
      <w:pPr>
        <w:pStyle w:val="Add-Officename"/>
      </w:pPr>
      <w:r w:rsidRPr="007145CA">
        <w:t xml:space="preserve">Bowen </w:t>
      </w:r>
    </w:p>
    <w:p w:rsidR="00DA0EC5" w:rsidRPr="007145CA" w:rsidRDefault="00DA0EC5" w:rsidP="007145CA">
      <w:pPr>
        <w:pStyle w:val="Addressess"/>
      </w:pPr>
      <w:r w:rsidRPr="007145CA">
        <w:t xml:space="preserve">Lot 303, Beach Avenue Queens Beach </w:t>
      </w:r>
    </w:p>
    <w:p w:rsidR="00DA0EC5" w:rsidRPr="007145CA" w:rsidRDefault="00DA0EC5" w:rsidP="007145CA">
      <w:pPr>
        <w:pStyle w:val="Addressess"/>
      </w:pPr>
      <w:r w:rsidRPr="007145CA">
        <w:t xml:space="preserve">Bowen Qld 4805 </w:t>
      </w:r>
    </w:p>
    <w:p w:rsidR="00DA0EC5" w:rsidRPr="00DA0EC5" w:rsidRDefault="00DA0EC5" w:rsidP="007145CA">
      <w:pPr>
        <w:pStyle w:val="Add-Regions"/>
      </w:pPr>
      <w:r w:rsidRPr="00DA0EC5">
        <w:t xml:space="preserve">North Queensland </w:t>
      </w:r>
    </w:p>
    <w:p w:rsidR="00DA0EC5" w:rsidRPr="00DA0EC5" w:rsidRDefault="00DA0EC5" w:rsidP="007145CA">
      <w:pPr>
        <w:pStyle w:val="Add-type"/>
        <w:rPr>
          <w:color w:val="000000"/>
        </w:rPr>
      </w:pPr>
      <w:r w:rsidRPr="00DA0EC5">
        <w:t xml:space="preserve">North Queensland Regional Office </w:t>
      </w:r>
    </w:p>
    <w:p w:rsidR="00DA0EC5" w:rsidRPr="007145CA" w:rsidRDefault="00DA0EC5" w:rsidP="007145CA">
      <w:pPr>
        <w:pStyle w:val="Add-Officename"/>
      </w:pPr>
      <w:r w:rsidRPr="007145CA">
        <w:t xml:space="preserve">Townsville </w:t>
      </w:r>
    </w:p>
    <w:p w:rsidR="00DA0EC5" w:rsidRPr="00DA0EC5" w:rsidRDefault="00DA0EC5" w:rsidP="00574507">
      <w:pPr>
        <w:pStyle w:val="Addressess"/>
      </w:pPr>
      <w:r w:rsidRPr="00DA0EC5">
        <w:t xml:space="preserve">9–15 Langton Street </w:t>
      </w:r>
    </w:p>
    <w:p w:rsidR="00DA0EC5" w:rsidRPr="00DA0EC5" w:rsidRDefault="00DA0EC5" w:rsidP="00574507">
      <w:pPr>
        <w:pStyle w:val="Addressess"/>
      </w:pPr>
      <w:r w:rsidRPr="00DA0EC5">
        <w:t xml:space="preserve">Garbutt Qld 4814 </w:t>
      </w:r>
    </w:p>
    <w:p w:rsidR="00DA0EC5" w:rsidRPr="00DA0EC5" w:rsidRDefault="00DA0EC5" w:rsidP="00574507">
      <w:pPr>
        <w:pStyle w:val="Addressess"/>
      </w:pPr>
      <w:r w:rsidRPr="00DA0EC5">
        <w:t xml:space="preserve">PO Box 561 </w:t>
      </w:r>
    </w:p>
    <w:p w:rsidR="00DA0EC5" w:rsidRPr="00DA0EC5" w:rsidRDefault="00DA0EC5" w:rsidP="00574507">
      <w:pPr>
        <w:pStyle w:val="Addressess"/>
      </w:pPr>
      <w:r w:rsidRPr="00DA0EC5">
        <w:t xml:space="preserve">Townsville Qld 4810 </w:t>
      </w:r>
    </w:p>
    <w:p w:rsidR="00DA0EC5" w:rsidRPr="00DA0EC5" w:rsidRDefault="00DA0EC5" w:rsidP="00574507">
      <w:pPr>
        <w:pStyle w:val="Addressess"/>
      </w:pPr>
      <w:r w:rsidRPr="00DA0EC5">
        <w:t xml:space="preserve">Phone: 07 4412 2300 </w:t>
      </w:r>
    </w:p>
    <w:p w:rsidR="00DA0EC5" w:rsidRPr="00DA0EC5" w:rsidRDefault="00DA0EC5" w:rsidP="00574507">
      <w:pPr>
        <w:pStyle w:val="Addressess"/>
      </w:pPr>
      <w:r w:rsidRPr="00DA0EC5">
        <w:t xml:space="preserve">Fax: 07 4799 5401 </w:t>
      </w:r>
    </w:p>
    <w:p w:rsidR="00DA0EC5" w:rsidRPr="00DA0EC5" w:rsidRDefault="00DA0EC5" w:rsidP="007145CA">
      <w:pPr>
        <w:pStyle w:val="Add-type"/>
      </w:pPr>
      <w:r w:rsidRPr="00DA0EC5">
        <w:t xml:space="preserve">District office </w:t>
      </w:r>
    </w:p>
    <w:p w:rsidR="00DA0EC5" w:rsidRPr="007145CA" w:rsidRDefault="00DA0EC5" w:rsidP="007145CA">
      <w:pPr>
        <w:pStyle w:val="Add-Officename"/>
      </w:pPr>
      <w:r w:rsidRPr="007145CA">
        <w:t xml:space="preserve">Mount Isa </w:t>
      </w:r>
    </w:p>
    <w:p w:rsidR="00DA0EC5" w:rsidRPr="00DA0EC5" w:rsidRDefault="00DA0EC5" w:rsidP="007145CA">
      <w:pPr>
        <w:pStyle w:val="Addressess"/>
      </w:pPr>
      <w:r w:rsidRPr="00DA0EC5">
        <w:t xml:space="preserve">5 Traders Way </w:t>
      </w:r>
    </w:p>
    <w:p w:rsidR="00DA0EC5" w:rsidRPr="00DA0EC5" w:rsidRDefault="00DA0EC5" w:rsidP="007145CA">
      <w:pPr>
        <w:pStyle w:val="Addressess"/>
      </w:pPr>
      <w:r w:rsidRPr="00DA0EC5">
        <w:t xml:space="preserve">Sunset Qld 4825 </w:t>
      </w:r>
    </w:p>
    <w:p w:rsidR="00DA0EC5" w:rsidRPr="00DA0EC5" w:rsidRDefault="00DA0EC5" w:rsidP="007145CA">
      <w:pPr>
        <w:pStyle w:val="Addressess"/>
      </w:pPr>
      <w:r w:rsidRPr="00DA0EC5">
        <w:t xml:space="preserve">PO Box 1659 </w:t>
      </w:r>
    </w:p>
    <w:p w:rsidR="00DA0EC5" w:rsidRPr="00DA0EC5" w:rsidRDefault="00DA0EC5" w:rsidP="007145CA">
      <w:pPr>
        <w:pStyle w:val="Addressess"/>
      </w:pPr>
      <w:r w:rsidRPr="00DA0EC5">
        <w:t xml:space="preserve">Mount Isa Qld 4825 </w:t>
      </w:r>
    </w:p>
    <w:p w:rsidR="00DA0EC5" w:rsidRPr="00DA0EC5" w:rsidRDefault="00DA0EC5" w:rsidP="007145CA">
      <w:pPr>
        <w:pStyle w:val="Addressess"/>
      </w:pPr>
      <w:r w:rsidRPr="00DA0EC5">
        <w:t xml:space="preserve">Phone: 07 4437 2520 </w:t>
      </w:r>
    </w:p>
    <w:p w:rsidR="00DA0EC5" w:rsidRPr="00DA0EC5" w:rsidRDefault="00DA0EC5" w:rsidP="007145CA">
      <w:pPr>
        <w:pStyle w:val="Addressess"/>
      </w:pPr>
      <w:r w:rsidRPr="00DA0EC5">
        <w:t xml:space="preserve">Fax: 07 4747 2777 </w:t>
      </w:r>
    </w:p>
    <w:p w:rsidR="00DA0EC5" w:rsidRPr="00DA0EC5" w:rsidRDefault="00DA0EC5" w:rsidP="007145CA">
      <w:pPr>
        <w:pStyle w:val="Add-type"/>
      </w:pPr>
      <w:r w:rsidRPr="00DA0EC5">
        <w:t xml:space="preserve">Depots </w:t>
      </w:r>
    </w:p>
    <w:p w:rsidR="00DA0EC5" w:rsidRPr="00DA0EC5" w:rsidRDefault="00DA0EC5" w:rsidP="007145CA">
      <w:pPr>
        <w:pStyle w:val="Add-Officename"/>
        <w:rPr>
          <w:rFonts w:ascii="MetaBoldLF-Roman" w:hAnsi="MetaBoldLF-Roman" w:cs="MetaBoldLF-Roman"/>
          <w:color w:val="404041"/>
          <w:szCs w:val="20"/>
        </w:rPr>
      </w:pPr>
      <w:r w:rsidRPr="00DA0EC5">
        <w:rPr>
          <w:rFonts w:ascii="MetaBoldLF-Roman" w:hAnsi="MetaBoldLF-Roman" w:cs="MetaBoldLF-Roman"/>
          <w:color w:val="404041"/>
          <w:szCs w:val="20"/>
        </w:rPr>
        <w:t xml:space="preserve">Ayr </w:t>
      </w:r>
    </w:p>
    <w:p w:rsidR="00DA0EC5" w:rsidRPr="00DA0EC5" w:rsidRDefault="00DA0EC5" w:rsidP="007145CA">
      <w:pPr>
        <w:pStyle w:val="Addressess"/>
      </w:pPr>
      <w:r w:rsidRPr="00DA0EC5">
        <w:t xml:space="preserve">203 Edward Street (cnr Churchill St) </w:t>
      </w:r>
    </w:p>
    <w:p w:rsidR="00DA0EC5" w:rsidRPr="00DA0EC5" w:rsidRDefault="00DA0EC5" w:rsidP="007145CA">
      <w:pPr>
        <w:pStyle w:val="Addressess"/>
      </w:pPr>
      <w:r w:rsidRPr="00DA0EC5">
        <w:t xml:space="preserve">Ayr Qld 4807 </w:t>
      </w:r>
    </w:p>
    <w:p w:rsidR="00DA0EC5" w:rsidRPr="00DA0EC5" w:rsidRDefault="00DA0EC5" w:rsidP="007145CA">
      <w:pPr>
        <w:pStyle w:val="Addressess"/>
      </w:pPr>
      <w:r w:rsidRPr="00DA0EC5">
        <w:t xml:space="preserve">Phone: 07 4783 5367 </w:t>
      </w:r>
    </w:p>
    <w:p w:rsidR="00DA0EC5" w:rsidRPr="00DA0EC5" w:rsidRDefault="00DA0EC5" w:rsidP="007145CA">
      <w:pPr>
        <w:pStyle w:val="Addressess"/>
      </w:pPr>
      <w:r w:rsidRPr="00DA0EC5">
        <w:t xml:space="preserve">Fax: 07 4783 5179 </w:t>
      </w:r>
    </w:p>
    <w:p w:rsidR="00DA0EC5" w:rsidRPr="007145CA" w:rsidRDefault="00DA0EC5" w:rsidP="007145CA">
      <w:pPr>
        <w:pStyle w:val="Add-Officename"/>
      </w:pPr>
      <w:r w:rsidRPr="007145CA">
        <w:t xml:space="preserve">Charters Towers </w:t>
      </w:r>
    </w:p>
    <w:p w:rsidR="00DA0EC5" w:rsidRPr="00DA0EC5" w:rsidRDefault="00DA0EC5" w:rsidP="007145CA">
      <w:pPr>
        <w:pStyle w:val="Addressess"/>
      </w:pPr>
      <w:r w:rsidRPr="00DA0EC5">
        <w:t xml:space="preserve">Hodgkinson Street </w:t>
      </w:r>
    </w:p>
    <w:p w:rsidR="00DA0EC5" w:rsidRPr="00DA0EC5" w:rsidRDefault="00DA0EC5" w:rsidP="007145CA">
      <w:pPr>
        <w:pStyle w:val="Addressess"/>
      </w:pPr>
      <w:r w:rsidRPr="00DA0EC5">
        <w:t xml:space="preserve">Charters Towers Qld 4820 </w:t>
      </w:r>
    </w:p>
    <w:p w:rsidR="00DA0EC5" w:rsidRPr="00DA0EC5" w:rsidRDefault="00DA0EC5" w:rsidP="007145CA">
      <w:pPr>
        <w:pStyle w:val="Addressess"/>
      </w:pPr>
      <w:r w:rsidRPr="00DA0EC5">
        <w:t xml:space="preserve">Phone: 07 4787 2367 </w:t>
      </w:r>
    </w:p>
    <w:p w:rsidR="00DA0EC5" w:rsidRPr="00DA0EC5" w:rsidRDefault="00DA0EC5" w:rsidP="007145CA">
      <w:pPr>
        <w:pStyle w:val="Addressess"/>
      </w:pPr>
      <w:r w:rsidRPr="00DA0EC5">
        <w:t xml:space="preserve">Fax: 07 4787 7415 </w:t>
      </w:r>
    </w:p>
    <w:p w:rsidR="00DA0EC5" w:rsidRPr="007145CA" w:rsidRDefault="00DA0EC5" w:rsidP="007145CA">
      <w:pPr>
        <w:pStyle w:val="Add-Officename"/>
      </w:pPr>
      <w:r w:rsidRPr="007145CA">
        <w:t xml:space="preserve">Doomadgee </w:t>
      </w:r>
    </w:p>
    <w:p w:rsidR="00DA0EC5" w:rsidRPr="00DA0EC5" w:rsidRDefault="00DA0EC5" w:rsidP="007145CA">
      <w:pPr>
        <w:pStyle w:val="Addressess"/>
      </w:pPr>
      <w:r w:rsidRPr="00DA0EC5">
        <w:t xml:space="preserve">Goodeedawa Road </w:t>
      </w:r>
    </w:p>
    <w:p w:rsidR="00DA0EC5" w:rsidRPr="00DA0EC5" w:rsidRDefault="00DA0EC5" w:rsidP="007145CA">
      <w:pPr>
        <w:pStyle w:val="Addressess"/>
      </w:pPr>
      <w:r w:rsidRPr="00DA0EC5">
        <w:t xml:space="preserve">Doomadgee Qld 4830 </w:t>
      </w:r>
    </w:p>
    <w:p w:rsidR="00DA0EC5" w:rsidRPr="00DA0EC5" w:rsidRDefault="00DA0EC5" w:rsidP="007145CA">
      <w:pPr>
        <w:pStyle w:val="Addressess"/>
      </w:pPr>
      <w:r w:rsidRPr="00DA0EC5">
        <w:t xml:space="preserve">Phone: 07 4745 8086 </w:t>
      </w:r>
    </w:p>
    <w:p w:rsidR="00DA0EC5" w:rsidRPr="00DA0EC5" w:rsidRDefault="00DA0EC5" w:rsidP="007145CA">
      <w:pPr>
        <w:pStyle w:val="Addressess"/>
      </w:pPr>
      <w:r w:rsidRPr="00DA0EC5">
        <w:t xml:space="preserve">Fax: 07 4745 8043 </w:t>
      </w:r>
    </w:p>
    <w:p w:rsidR="00DA0EC5" w:rsidRPr="007145CA" w:rsidRDefault="00DA0EC5" w:rsidP="007145CA">
      <w:pPr>
        <w:pStyle w:val="Add-Officename"/>
      </w:pPr>
      <w:r w:rsidRPr="007145CA">
        <w:t xml:space="preserve">Ingham </w:t>
      </w:r>
    </w:p>
    <w:p w:rsidR="00DA0EC5" w:rsidRPr="00DA0EC5" w:rsidRDefault="00DA0EC5" w:rsidP="007145CA">
      <w:pPr>
        <w:pStyle w:val="Addressess"/>
      </w:pPr>
      <w:r w:rsidRPr="00DA0EC5">
        <w:t xml:space="preserve">Palm Terrace </w:t>
      </w:r>
    </w:p>
    <w:p w:rsidR="00DA0EC5" w:rsidRPr="00DA0EC5" w:rsidRDefault="00DA0EC5" w:rsidP="007145CA">
      <w:pPr>
        <w:pStyle w:val="Addressess"/>
      </w:pPr>
      <w:r w:rsidRPr="00DA0EC5">
        <w:t xml:space="preserve">Ingham Qld 4850 </w:t>
      </w:r>
    </w:p>
    <w:p w:rsidR="00DA0EC5" w:rsidRPr="00DA0EC5" w:rsidRDefault="00DA0EC5" w:rsidP="007145CA">
      <w:pPr>
        <w:pStyle w:val="Addressess"/>
      </w:pPr>
      <w:r w:rsidRPr="00DA0EC5">
        <w:t xml:space="preserve">Phone: 07 4776 0972 </w:t>
      </w:r>
    </w:p>
    <w:p w:rsidR="00DA0EC5" w:rsidRPr="00DA0EC5" w:rsidRDefault="00DA0EC5" w:rsidP="007145CA">
      <w:pPr>
        <w:pStyle w:val="Addressess"/>
      </w:pPr>
      <w:r w:rsidRPr="00DA0EC5">
        <w:t xml:space="preserve">Fax: 07 4776 3193 </w:t>
      </w:r>
    </w:p>
    <w:p w:rsidR="00DA0EC5" w:rsidRPr="007145CA" w:rsidRDefault="00DA0EC5" w:rsidP="007145CA">
      <w:pPr>
        <w:pStyle w:val="Add-Officename"/>
      </w:pPr>
      <w:r w:rsidRPr="007145CA">
        <w:t xml:space="preserve">Mornington Island </w:t>
      </w:r>
    </w:p>
    <w:p w:rsidR="00DA0EC5" w:rsidRPr="00DA0EC5" w:rsidRDefault="00DA0EC5" w:rsidP="007145CA">
      <w:pPr>
        <w:pStyle w:val="Addressess"/>
      </w:pPr>
      <w:r w:rsidRPr="00DA0EC5">
        <w:t xml:space="preserve">Lardil Street </w:t>
      </w:r>
    </w:p>
    <w:p w:rsidR="00DA0EC5" w:rsidRPr="00DA0EC5" w:rsidRDefault="00DA0EC5" w:rsidP="007145CA">
      <w:pPr>
        <w:pStyle w:val="Addressess"/>
      </w:pPr>
      <w:r w:rsidRPr="00DA0EC5">
        <w:t xml:space="preserve">Gununa </w:t>
      </w:r>
    </w:p>
    <w:p w:rsidR="00DA0EC5" w:rsidRPr="00DA0EC5" w:rsidRDefault="00DA0EC5" w:rsidP="007145CA">
      <w:pPr>
        <w:pStyle w:val="Addressess"/>
      </w:pPr>
      <w:r w:rsidRPr="00DA0EC5">
        <w:t xml:space="preserve">Mornington Island Qld 4871 </w:t>
      </w:r>
    </w:p>
    <w:p w:rsidR="00DA0EC5" w:rsidRPr="00DA0EC5" w:rsidRDefault="00DA0EC5" w:rsidP="007145CA">
      <w:pPr>
        <w:pStyle w:val="Addressess"/>
      </w:pPr>
      <w:r w:rsidRPr="00DA0EC5">
        <w:t xml:space="preserve">Phone/Fax: 07 4745 738 </w:t>
      </w:r>
    </w:p>
    <w:p w:rsidR="00DA0EC5" w:rsidRPr="007145CA" w:rsidRDefault="00DA0EC5" w:rsidP="007145CA">
      <w:pPr>
        <w:pStyle w:val="Add-Officename"/>
      </w:pPr>
      <w:r w:rsidRPr="007145CA">
        <w:t xml:space="preserve">Mount Isa </w:t>
      </w:r>
    </w:p>
    <w:p w:rsidR="00DA0EC5" w:rsidRPr="00DA0EC5" w:rsidRDefault="00DA0EC5" w:rsidP="007145CA">
      <w:pPr>
        <w:pStyle w:val="Addressess"/>
      </w:pPr>
      <w:r w:rsidRPr="00DA0EC5">
        <w:t xml:space="preserve">5 Traders Way </w:t>
      </w:r>
    </w:p>
    <w:p w:rsidR="00DA0EC5" w:rsidRPr="00DA0EC5" w:rsidRDefault="00DA0EC5" w:rsidP="007145CA">
      <w:pPr>
        <w:pStyle w:val="Addressess"/>
      </w:pPr>
      <w:r w:rsidRPr="00DA0EC5">
        <w:t xml:space="preserve">Sunset Qld 4825 </w:t>
      </w:r>
    </w:p>
    <w:p w:rsidR="00DA0EC5" w:rsidRPr="00DA0EC5" w:rsidRDefault="00DA0EC5" w:rsidP="007145CA">
      <w:pPr>
        <w:pStyle w:val="Addressess"/>
      </w:pPr>
      <w:r w:rsidRPr="00DA0EC5">
        <w:t xml:space="preserve">Phone: 07 4437 2520 </w:t>
      </w:r>
    </w:p>
    <w:p w:rsidR="00DA0EC5" w:rsidRPr="00DA0EC5" w:rsidRDefault="00DA0EC5" w:rsidP="007145CA">
      <w:pPr>
        <w:pStyle w:val="Addressess"/>
      </w:pPr>
      <w:r w:rsidRPr="00DA0EC5">
        <w:t xml:space="preserve">Fax: 07 4747 2777 </w:t>
      </w:r>
    </w:p>
    <w:p w:rsidR="00DA0EC5" w:rsidRPr="007145CA" w:rsidRDefault="00DA0EC5" w:rsidP="007145CA">
      <w:pPr>
        <w:pStyle w:val="Add-Officename"/>
      </w:pPr>
      <w:r w:rsidRPr="007145CA">
        <w:t xml:space="preserve">Normanton </w:t>
      </w:r>
    </w:p>
    <w:p w:rsidR="00DA0EC5" w:rsidRPr="00DA0EC5" w:rsidRDefault="00DA0EC5" w:rsidP="007145CA">
      <w:pPr>
        <w:pStyle w:val="Addressess"/>
      </w:pPr>
      <w:r w:rsidRPr="00DA0EC5">
        <w:t xml:space="preserve">7 Simpson Street </w:t>
      </w:r>
    </w:p>
    <w:p w:rsidR="00DA0EC5" w:rsidRPr="00DA0EC5" w:rsidRDefault="00DA0EC5" w:rsidP="007145CA">
      <w:pPr>
        <w:pStyle w:val="Addressess"/>
      </w:pPr>
      <w:r w:rsidRPr="00DA0EC5">
        <w:t xml:space="preserve">Normanton Qld 4890 </w:t>
      </w:r>
    </w:p>
    <w:p w:rsidR="00DA0EC5" w:rsidRPr="00DA0EC5" w:rsidRDefault="00DA0EC5" w:rsidP="007145CA">
      <w:pPr>
        <w:pStyle w:val="Addressess"/>
      </w:pPr>
      <w:r w:rsidRPr="00DA0EC5">
        <w:t xml:space="preserve">Phone/Fax: 07 4745 1019 </w:t>
      </w:r>
    </w:p>
    <w:p w:rsidR="00DA0EC5" w:rsidRPr="007145CA" w:rsidRDefault="008B7210" w:rsidP="007145CA">
      <w:pPr>
        <w:pStyle w:val="Add-Officename"/>
      </w:pPr>
      <w:r>
        <w:br w:type="column"/>
      </w:r>
      <w:r w:rsidR="00DA0EC5" w:rsidRPr="007145CA">
        <w:lastRenderedPageBreak/>
        <w:t xml:space="preserve">Palm Island </w:t>
      </w:r>
    </w:p>
    <w:p w:rsidR="00DA0EC5" w:rsidRPr="00DA0EC5" w:rsidRDefault="00DA0EC5" w:rsidP="007145CA">
      <w:pPr>
        <w:pStyle w:val="Addressess"/>
      </w:pPr>
      <w:r w:rsidRPr="00DA0EC5">
        <w:t xml:space="preserve">Butler Bay </w:t>
      </w:r>
    </w:p>
    <w:p w:rsidR="00DA0EC5" w:rsidRPr="00DA0EC5" w:rsidRDefault="00DA0EC5" w:rsidP="007145CA">
      <w:pPr>
        <w:pStyle w:val="Addressess"/>
      </w:pPr>
      <w:r w:rsidRPr="00DA0EC5">
        <w:t xml:space="preserve">Palm Island Qld 4816 </w:t>
      </w:r>
    </w:p>
    <w:p w:rsidR="00DA0EC5" w:rsidRPr="00DA0EC5" w:rsidRDefault="00DA0EC5" w:rsidP="007145CA">
      <w:pPr>
        <w:pStyle w:val="Addressess"/>
      </w:pPr>
      <w:r w:rsidRPr="00DA0EC5">
        <w:t xml:space="preserve">Phone: 07 4770 1426 </w:t>
      </w:r>
    </w:p>
    <w:p w:rsidR="00DA0EC5" w:rsidRPr="007145CA" w:rsidRDefault="00DA0EC5" w:rsidP="007145CA">
      <w:pPr>
        <w:pStyle w:val="Add-Officename"/>
      </w:pPr>
      <w:r w:rsidRPr="007145CA">
        <w:t xml:space="preserve">Townsville </w:t>
      </w:r>
    </w:p>
    <w:p w:rsidR="00DA0EC5" w:rsidRPr="00DA0EC5" w:rsidRDefault="00DA0EC5" w:rsidP="007145CA">
      <w:pPr>
        <w:pStyle w:val="Addressess"/>
      </w:pPr>
      <w:r w:rsidRPr="00DA0EC5">
        <w:t xml:space="preserve">9–15 Langton Street </w:t>
      </w:r>
    </w:p>
    <w:p w:rsidR="00DA0EC5" w:rsidRPr="00DA0EC5" w:rsidRDefault="00DA0EC5" w:rsidP="007145CA">
      <w:pPr>
        <w:pStyle w:val="Addressess"/>
      </w:pPr>
      <w:r w:rsidRPr="00DA0EC5">
        <w:t xml:space="preserve">Garbutt Qld 4814 </w:t>
      </w:r>
    </w:p>
    <w:p w:rsidR="00DA0EC5" w:rsidRPr="00DA0EC5" w:rsidRDefault="00DA0EC5" w:rsidP="007145CA">
      <w:pPr>
        <w:pStyle w:val="Addressess"/>
      </w:pPr>
      <w:r w:rsidRPr="00DA0EC5">
        <w:t xml:space="preserve">Phone: 07 4412 2300 </w:t>
      </w:r>
    </w:p>
    <w:p w:rsidR="00DA0EC5" w:rsidRPr="00DA0EC5" w:rsidRDefault="00DA0EC5" w:rsidP="007145CA">
      <w:pPr>
        <w:pStyle w:val="Addressess"/>
      </w:pPr>
      <w:r w:rsidRPr="00DA0EC5">
        <w:t xml:space="preserve">Fax: 07 4799 5401 </w:t>
      </w:r>
    </w:p>
    <w:p w:rsidR="00DA0EC5" w:rsidRPr="00DA0EC5" w:rsidRDefault="00DA0EC5" w:rsidP="007145CA">
      <w:pPr>
        <w:pStyle w:val="Add-Regions"/>
      </w:pPr>
      <w:r w:rsidRPr="00DA0EC5">
        <w:t xml:space="preserve">Far North Queensland </w:t>
      </w:r>
    </w:p>
    <w:p w:rsidR="00DA0EC5" w:rsidRPr="00DA0EC5" w:rsidRDefault="00DA0EC5" w:rsidP="007145CA">
      <w:pPr>
        <w:pStyle w:val="Add-type"/>
      </w:pPr>
      <w:r w:rsidRPr="00DA0EC5">
        <w:t xml:space="preserve">Far North Queensland Regional Office </w:t>
      </w:r>
    </w:p>
    <w:p w:rsidR="00DA0EC5" w:rsidRPr="007145CA" w:rsidRDefault="00DA0EC5" w:rsidP="007145CA">
      <w:pPr>
        <w:pStyle w:val="Add-Officename"/>
      </w:pPr>
      <w:r w:rsidRPr="007145CA">
        <w:t xml:space="preserve">Cairns </w:t>
      </w:r>
    </w:p>
    <w:p w:rsidR="00DA0EC5" w:rsidRPr="00DA0EC5" w:rsidRDefault="00DA0EC5" w:rsidP="00336159">
      <w:pPr>
        <w:pStyle w:val="Addressess"/>
      </w:pPr>
      <w:r w:rsidRPr="00DA0EC5">
        <w:t xml:space="preserve">31 Grove Street </w:t>
      </w:r>
    </w:p>
    <w:p w:rsidR="00DA0EC5" w:rsidRPr="00DA0EC5" w:rsidRDefault="00DA0EC5" w:rsidP="00336159">
      <w:pPr>
        <w:pStyle w:val="Addressess"/>
      </w:pPr>
      <w:r w:rsidRPr="00DA0EC5">
        <w:t xml:space="preserve">PO Box 812 </w:t>
      </w:r>
    </w:p>
    <w:p w:rsidR="00DA0EC5" w:rsidRPr="00DA0EC5" w:rsidRDefault="00DA0EC5" w:rsidP="00336159">
      <w:pPr>
        <w:pStyle w:val="Addressess"/>
      </w:pPr>
      <w:r w:rsidRPr="00DA0EC5">
        <w:t xml:space="preserve">Cairns Qld 4870 </w:t>
      </w:r>
    </w:p>
    <w:p w:rsidR="00DA0EC5" w:rsidRPr="00DA0EC5" w:rsidRDefault="00DA0EC5" w:rsidP="00336159">
      <w:pPr>
        <w:pStyle w:val="Addressess"/>
      </w:pPr>
      <w:r w:rsidRPr="00DA0EC5">
        <w:t xml:space="preserve">Phone: 07 4232 4000 </w:t>
      </w:r>
    </w:p>
    <w:p w:rsidR="00DA0EC5" w:rsidRPr="00DA0EC5" w:rsidRDefault="00DA0EC5" w:rsidP="00336159">
      <w:pPr>
        <w:pStyle w:val="Addressess"/>
      </w:pPr>
      <w:r w:rsidRPr="00DA0EC5">
        <w:t xml:space="preserve">Fax: 07 4031 2560 </w:t>
      </w:r>
    </w:p>
    <w:p w:rsidR="00DA0EC5" w:rsidRPr="00DA0EC5" w:rsidRDefault="00DA0EC5" w:rsidP="00574507">
      <w:pPr>
        <w:pStyle w:val="Add-type"/>
      </w:pPr>
      <w:r w:rsidRPr="00DA0EC5">
        <w:t xml:space="preserve">District Office </w:t>
      </w:r>
    </w:p>
    <w:p w:rsidR="00DA0EC5" w:rsidRPr="00DA0EC5" w:rsidRDefault="00DA0EC5" w:rsidP="00574507">
      <w:pPr>
        <w:pStyle w:val="Add-Officename"/>
      </w:pPr>
      <w:r w:rsidRPr="00DA0EC5">
        <w:t xml:space="preserve">Thursday Island </w:t>
      </w:r>
    </w:p>
    <w:p w:rsidR="00DA0EC5" w:rsidRPr="00143F52" w:rsidRDefault="00DA0EC5" w:rsidP="00143F52">
      <w:pPr>
        <w:pStyle w:val="Addressess"/>
      </w:pPr>
      <w:r w:rsidRPr="00143F52">
        <w:t xml:space="preserve">44 Victoria Parade </w:t>
      </w:r>
    </w:p>
    <w:p w:rsidR="00DA0EC5" w:rsidRPr="00143F52" w:rsidRDefault="00DA0EC5" w:rsidP="00143F52">
      <w:pPr>
        <w:pStyle w:val="Addressess"/>
      </w:pPr>
      <w:r w:rsidRPr="00143F52">
        <w:t xml:space="preserve">PO Box 397 </w:t>
      </w:r>
    </w:p>
    <w:p w:rsidR="00DA0EC5" w:rsidRPr="00143F52" w:rsidRDefault="00DA0EC5" w:rsidP="00143F52">
      <w:pPr>
        <w:pStyle w:val="Addressess"/>
      </w:pPr>
      <w:r w:rsidRPr="00143F52">
        <w:t xml:space="preserve">Thursday Island Qld 4875 </w:t>
      </w:r>
    </w:p>
    <w:p w:rsidR="00DA0EC5" w:rsidRPr="00143F52" w:rsidRDefault="00DA0EC5" w:rsidP="00143F52">
      <w:pPr>
        <w:pStyle w:val="Addressess"/>
      </w:pPr>
      <w:r w:rsidRPr="00143F52">
        <w:t xml:space="preserve">Phone: 07 4212 3390 </w:t>
      </w:r>
    </w:p>
    <w:p w:rsidR="00DA0EC5" w:rsidRPr="00143F52" w:rsidRDefault="00DA0EC5" w:rsidP="00143F52">
      <w:pPr>
        <w:pStyle w:val="Addressess"/>
      </w:pPr>
      <w:r w:rsidRPr="00143F52">
        <w:t xml:space="preserve">Fax: 07 4069 1778 </w:t>
      </w:r>
    </w:p>
    <w:p w:rsidR="00DA0EC5" w:rsidRPr="00DA0EC5" w:rsidRDefault="00DA0EC5" w:rsidP="00574507">
      <w:pPr>
        <w:pStyle w:val="Add-type"/>
      </w:pPr>
      <w:r w:rsidRPr="00DA0EC5">
        <w:t xml:space="preserve">Depots </w:t>
      </w:r>
    </w:p>
    <w:p w:rsidR="00DA0EC5" w:rsidRPr="00DA0EC5" w:rsidRDefault="00DA0EC5" w:rsidP="00574507">
      <w:pPr>
        <w:pStyle w:val="Add-Officename"/>
      </w:pPr>
      <w:r w:rsidRPr="00DA0EC5">
        <w:t xml:space="preserve">Atherton </w:t>
      </w:r>
    </w:p>
    <w:p w:rsidR="00DA0EC5" w:rsidRPr="00143F52" w:rsidRDefault="00DA0EC5" w:rsidP="00143F52">
      <w:pPr>
        <w:pStyle w:val="Addressess"/>
      </w:pPr>
      <w:r w:rsidRPr="00143F52">
        <w:t xml:space="preserve">20 Albrecht Street </w:t>
      </w:r>
    </w:p>
    <w:p w:rsidR="00DA0EC5" w:rsidRPr="00143F52" w:rsidRDefault="00DA0EC5" w:rsidP="00143F52">
      <w:pPr>
        <w:pStyle w:val="Addressess"/>
      </w:pPr>
      <w:r w:rsidRPr="00143F52">
        <w:t xml:space="preserve">PO Box 845 </w:t>
      </w:r>
    </w:p>
    <w:p w:rsidR="00DA0EC5" w:rsidRPr="00143F52" w:rsidRDefault="00DA0EC5" w:rsidP="00143F52">
      <w:pPr>
        <w:pStyle w:val="Addressess"/>
      </w:pPr>
      <w:r w:rsidRPr="00143F52">
        <w:t xml:space="preserve">Tolga Qld 4882 </w:t>
      </w:r>
    </w:p>
    <w:p w:rsidR="00DA0EC5" w:rsidRPr="00143F52" w:rsidRDefault="00DA0EC5" w:rsidP="00143F52">
      <w:pPr>
        <w:pStyle w:val="Addressess"/>
      </w:pPr>
      <w:r w:rsidRPr="00143F52">
        <w:t xml:space="preserve">Phone: 07 4095 5901 </w:t>
      </w:r>
    </w:p>
    <w:p w:rsidR="00DA0EC5" w:rsidRPr="00143F52" w:rsidRDefault="00DA0EC5" w:rsidP="00143F52">
      <w:pPr>
        <w:pStyle w:val="Addressess"/>
      </w:pPr>
      <w:r w:rsidRPr="00143F52">
        <w:t xml:space="preserve">Fax: 07 4095 5905 </w:t>
      </w:r>
    </w:p>
    <w:p w:rsidR="00DA0EC5" w:rsidRPr="00DA0EC5" w:rsidRDefault="00DA0EC5" w:rsidP="00574507">
      <w:pPr>
        <w:pStyle w:val="Add-Officename"/>
      </w:pPr>
      <w:r w:rsidRPr="00DA0EC5">
        <w:t xml:space="preserve">Bamaga </w:t>
      </w:r>
    </w:p>
    <w:p w:rsidR="00DA0EC5" w:rsidRPr="00143F52" w:rsidRDefault="00DA0EC5" w:rsidP="00143F52">
      <w:pPr>
        <w:pStyle w:val="Addressess"/>
      </w:pPr>
      <w:r w:rsidRPr="00143F52">
        <w:t xml:space="preserve">Lui Street </w:t>
      </w:r>
    </w:p>
    <w:p w:rsidR="00DA0EC5" w:rsidRPr="00143F52" w:rsidRDefault="00DA0EC5" w:rsidP="00143F52">
      <w:pPr>
        <w:pStyle w:val="Addressess"/>
      </w:pPr>
      <w:r w:rsidRPr="00143F52">
        <w:t xml:space="preserve">PO Box 91 </w:t>
      </w:r>
    </w:p>
    <w:p w:rsidR="00DA0EC5" w:rsidRPr="00143F52" w:rsidRDefault="00DA0EC5" w:rsidP="00143F52">
      <w:pPr>
        <w:pStyle w:val="Addressess"/>
      </w:pPr>
      <w:r w:rsidRPr="00143F52">
        <w:t xml:space="preserve">Bamaga Qld 4876 </w:t>
      </w:r>
    </w:p>
    <w:p w:rsidR="00DA0EC5" w:rsidRPr="00143F52" w:rsidRDefault="00DA0EC5" w:rsidP="00143F52">
      <w:pPr>
        <w:pStyle w:val="Addressess"/>
      </w:pPr>
      <w:r w:rsidRPr="00143F52">
        <w:t xml:space="preserve">Phone/fax: 07 4069 3272 </w:t>
      </w:r>
    </w:p>
    <w:p w:rsidR="00DA0EC5" w:rsidRPr="00DA0EC5" w:rsidRDefault="00DA0EC5" w:rsidP="00574507">
      <w:pPr>
        <w:pStyle w:val="Add-Officename"/>
      </w:pPr>
      <w:r w:rsidRPr="00DA0EC5">
        <w:t xml:space="preserve">Cairns </w:t>
      </w:r>
    </w:p>
    <w:p w:rsidR="00DA0EC5" w:rsidRPr="00143F52" w:rsidRDefault="00DA0EC5" w:rsidP="00143F52">
      <w:pPr>
        <w:pStyle w:val="Addressess"/>
      </w:pPr>
      <w:r w:rsidRPr="00143F52">
        <w:t xml:space="preserve">31 Grove Street </w:t>
      </w:r>
    </w:p>
    <w:p w:rsidR="00DA0EC5" w:rsidRPr="00143F52" w:rsidRDefault="00DA0EC5" w:rsidP="00143F52">
      <w:pPr>
        <w:pStyle w:val="Addressess"/>
      </w:pPr>
      <w:r w:rsidRPr="00143F52">
        <w:t xml:space="preserve">PO Box 812 </w:t>
      </w:r>
    </w:p>
    <w:p w:rsidR="00DA0EC5" w:rsidRPr="00143F52" w:rsidRDefault="00DA0EC5" w:rsidP="00143F52">
      <w:pPr>
        <w:pStyle w:val="Addressess"/>
      </w:pPr>
      <w:r w:rsidRPr="00143F52">
        <w:t xml:space="preserve">Cairns Qld 4870 </w:t>
      </w:r>
    </w:p>
    <w:p w:rsidR="00DA0EC5" w:rsidRPr="00143F52" w:rsidRDefault="00DA0EC5" w:rsidP="00143F52">
      <w:pPr>
        <w:pStyle w:val="Addressess"/>
      </w:pPr>
      <w:r w:rsidRPr="00143F52">
        <w:t xml:space="preserve">Phone: 07 4232 4000 </w:t>
      </w:r>
    </w:p>
    <w:p w:rsidR="00DA0EC5" w:rsidRPr="00143F52" w:rsidRDefault="00DA0EC5" w:rsidP="00143F52">
      <w:pPr>
        <w:pStyle w:val="Addressess"/>
      </w:pPr>
      <w:r w:rsidRPr="00143F52">
        <w:t xml:space="preserve">Fax: 07 4031 2560 </w:t>
      </w:r>
    </w:p>
    <w:p w:rsidR="00DA0EC5" w:rsidRPr="00DA0EC5" w:rsidRDefault="008B7210" w:rsidP="00574507">
      <w:pPr>
        <w:pStyle w:val="Add-Officename"/>
      </w:pPr>
      <w:r>
        <w:br w:type="column"/>
      </w:r>
      <w:r w:rsidR="00DA0EC5" w:rsidRPr="00DA0EC5">
        <w:t xml:space="preserve">Innisfail </w:t>
      </w:r>
    </w:p>
    <w:p w:rsidR="00DA0EC5" w:rsidRPr="00143F52" w:rsidRDefault="00DA0EC5" w:rsidP="00143F52">
      <w:pPr>
        <w:pStyle w:val="Addressess"/>
      </w:pPr>
      <w:r w:rsidRPr="00143F52">
        <w:t xml:space="preserve">6 Laurie Street </w:t>
      </w:r>
    </w:p>
    <w:p w:rsidR="00DA0EC5" w:rsidRPr="00143F52" w:rsidRDefault="00DA0EC5" w:rsidP="00143F52">
      <w:pPr>
        <w:pStyle w:val="Addressess"/>
      </w:pPr>
      <w:r w:rsidRPr="00143F52">
        <w:t xml:space="preserve">Innisfail Qld 4860 </w:t>
      </w:r>
    </w:p>
    <w:p w:rsidR="00DA0EC5" w:rsidRPr="00143F52" w:rsidRDefault="00DA0EC5" w:rsidP="00143F52">
      <w:pPr>
        <w:pStyle w:val="Addressess"/>
      </w:pPr>
      <w:r w:rsidRPr="00143F52">
        <w:t xml:space="preserve">Phone/Fax: 07 4061 2175 </w:t>
      </w:r>
    </w:p>
    <w:p w:rsidR="00DA0EC5" w:rsidRPr="00DA0EC5" w:rsidRDefault="00DA0EC5" w:rsidP="00574507">
      <w:pPr>
        <w:pStyle w:val="Add-Officename"/>
      </w:pPr>
      <w:r w:rsidRPr="00DA0EC5">
        <w:t xml:space="preserve">Kowanyama </w:t>
      </w:r>
    </w:p>
    <w:p w:rsidR="00DA0EC5" w:rsidRPr="00143F52" w:rsidRDefault="00DA0EC5" w:rsidP="00143F52">
      <w:pPr>
        <w:pStyle w:val="Addressess"/>
      </w:pPr>
      <w:r w:rsidRPr="00143F52">
        <w:t xml:space="preserve">Kunjun Street </w:t>
      </w:r>
    </w:p>
    <w:p w:rsidR="00DA0EC5" w:rsidRPr="00143F52" w:rsidRDefault="00DA0EC5" w:rsidP="00143F52">
      <w:pPr>
        <w:pStyle w:val="Addressess"/>
      </w:pPr>
      <w:r w:rsidRPr="00143F52">
        <w:t xml:space="preserve">Kowanyama Qld 4876 </w:t>
      </w:r>
    </w:p>
    <w:p w:rsidR="00DA0EC5" w:rsidRPr="00DA0EC5" w:rsidRDefault="00DA0EC5" w:rsidP="00574507">
      <w:pPr>
        <w:pStyle w:val="Add-Officename"/>
      </w:pPr>
      <w:r w:rsidRPr="00DA0EC5">
        <w:t xml:space="preserve">Mareeba </w:t>
      </w:r>
    </w:p>
    <w:p w:rsidR="00DA0EC5" w:rsidRPr="00143F52" w:rsidRDefault="00DA0EC5" w:rsidP="00143F52">
      <w:pPr>
        <w:pStyle w:val="Addressess"/>
      </w:pPr>
      <w:r w:rsidRPr="00143F52">
        <w:t xml:space="preserve">Wallace Drive </w:t>
      </w:r>
    </w:p>
    <w:p w:rsidR="00DA0EC5" w:rsidRPr="00143F52" w:rsidRDefault="00DA0EC5" w:rsidP="00143F52">
      <w:pPr>
        <w:pStyle w:val="Addressess"/>
      </w:pPr>
      <w:r w:rsidRPr="00143F52">
        <w:t xml:space="preserve">Mareeba Qld 4880 </w:t>
      </w:r>
    </w:p>
    <w:p w:rsidR="00DA0EC5" w:rsidRPr="00143F52" w:rsidRDefault="00DA0EC5" w:rsidP="00143F52">
      <w:pPr>
        <w:pStyle w:val="Addressess"/>
      </w:pPr>
      <w:r w:rsidRPr="00143F52">
        <w:t xml:space="preserve">Phone: 07 4092 4398 </w:t>
      </w:r>
    </w:p>
    <w:p w:rsidR="00DA0EC5" w:rsidRPr="00143F52" w:rsidRDefault="00DA0EC5" w:rsidP="00143F52">
      <w:pPr>
        <w:pStyle w:val="Addressess"/>
      </w:pPr>
      <w:r w:rsidRPr="00143F52">
        <w:t xml:space="preserve">Fax: 07 4092 4298 </w:t>
      </w:r>
    </w:p>
    <w:p w:rsidR="00DA0EC5" w:rsidRPr="00DA0EC5" w:rsidRDefault="00DA0EC5" w:rsidP="00574507">
      <w:pPr>
        <w:pStyle w:val="Add-Officename"/>
      </w:pPr>
      <w:r w:rsidRPr="00DA0EC5">
        <w:t xml:space="preserve">Thursday Island </w:t>
      </w:r>
    </w:p>
    <w:p w:rsidR="00DA0EC5" w:rsidRPr="00143F52" w:rsidRDefault="00DA0EC5" w:rsidP="00143F52">
      <w:pPr>
        <w:pStyle w:val="Addressess"/>
      </w:pPr>
      <w:r w:rsidRPr="00143F52">
        <w:t xml:space="preserve">44 Victoria Parade </w:t>
      </w:r>
    </w:p>
    <w:p w:rsidR="00DA0EC5" w:rsidRPr="00143F52" w:rsidRDefault="00DA0EC5" w:rsidP="00143F52">
      <w:pPr>
        <w:pStyle w:val="Addressess"/>
      </w:pPr>
      <w:r w:rsidRPr="00143F52">
        <w:t xml:space="preserve">PO Box 397 </w:t>
      </w:r>
    </w:p>
    <w:p w:rsidR="00DA0EC5" w:rsidRPr="00143F52" w:rsidRDefault="00DA0EC5" w:rsidP="00143F52">
      <w:pPr>
        <w:pStyle w:val="Addressess"/>
      </w:pPr>
      <w:r w:rsidRPr="00143F52">
        <w:t xml:space="preserve">Thursday Island Qld 4875 </w:t>
      </w:r>
    </w:p>
    <w:p w:rsidR="00DA0EC5" w:rsidRPr="00143F52" w:rsidRDefault="00DA0EC5" w:rsidP="00143F52">
      <w:pPr>
        <w:pStyle w:val="Addressess"/>
      </w:pPr>
      <w:r w:rsidRPr="00143F52">
        <w:t xml:space="preserve">Phone: 07 4212 3390 </w:t>
      </w:r>
    </w:p>
    <w:p w:rsidR="00DA0EC5" w:rsidRPr="00143F52" w:rsidRDefault="00DA0EC5" w:rsidP="00143F52">
      <w:pPr>
        <w:pStyle w:val="Addressess"/>
      </w:pPr>
      <w:r w:rsidRPr="00143F52">
        <w:t xml:space="preserve">Fax: 07 4069 1778 </w:t>
      </w:r>
    </w:p>
    <w:p w:rsidR="00DA0EC5" w:rsidRPr="00DA0EC5" w:rsidRDefault="00DA0EC5" w:rsidP="00574507">
      <w:pPr>
        <w:pStyle w:val="Add-Officename"/>
      </w:pPr>
      <w:r w:rsidRPr="00DA0EC5">
        <w:t xml:space="preserve">Weipa </w:t>
      </w:r>
    </w:p>
    <w:p w:rsidR="00DA0EC5" w:rsidRPr="00143F52" w:rsidRDefault="00DA0EC5" w:rsidP="00143F52">
      <w:pPr>
        <w:pStyle w:val="Addressess"/>
      </w:pPr>
      <w:r w:rsidRPr="00143F52">
        <w:t xml:space="preserve">6 Tonkin Drive </w:t>
      </w:r>
    </w:p>
    <w:p w:rsidR="00DA0EC5" w:rsidRPr="00143F52" w:rsidRDefault="00DA0EC5" w:rsidP="00143F52">
      <w:pPr>
        <w:pStyle w:val="Addressess"/>
      </w:pPr>
      <w:r w:rsidRPr="00143F52">
        <w:t xml:space="preserve">PO Box 509 </w:t>
      </w:r>
    </w:p>
    <w:p w:rsidR="00DA0EC5" w:rsidRPr="00143F52" w:rsidRDefault="00DA0EC5" w:rsidP="00143F52">
      <w:pPr>
        <w:pStyle w:val="Addressess"/>
      </w:pPr>
      <w:r w:rsidRPr="00143F52">
        <w:t xml:space="preserve">Weipa Qld 4874 </w:t>
      </w:r>
    </w:p>
    <w:p w:rsidR="00DA0EC5" w:rsidRPr="00143F52" w:rsidRDefault="00DA0EC5" w:rsidP="00143F52">
      <w:pPr>
        <w:pStyle w:val="Addressess"/>
      </w:pPr>
      <w:r w:rsidRPr="00143F52">
        <w:t xml:space="preserve">Phone: 07 4069 7963 </w:t>
      </w:r>
    </w:p>
    <w:p w:rsidR="00DA0EC5" w:rsidRPr="00143F52" w:rsidRDefault="00DA0EC5" w:rsidP="00143F52">
      <w:pPr>
        <w:pStyle w:val="Addressess"/>
      </w:pPr>
      <w:r w:rsidRPr="00143F52">
        <w:t>Fax: 07 4069 9657</w:t>
      </w:r>
    </w:p>
    <w:p w:rsidR="00DA0EC5" w:rsidRPr="00DA0EC5" w:rsidRDefault="00DA0EC5" w:rsidP="00574507">
      <w:pPr>
        <w:pStyle w:val="Heading3"/>
        <w:rPr>
          <w:lang w:val="en-AU"/>
        </w:rPr>
      </w:pPr>
      <w:r w:rsidRPr="00DA0EC5">
        <w:rPr>
          <w:lang w:val="en-AU"/>
        </w:rPr>
        <w:t xml:space="preserve">Housing Service Centres </w:t>
      </w:r>
    </w:p>
    <w:p w:rsidR="00DA0EC5" w:rsidRPr="00143F52" w:rsidRDefault="00DA0EC5" w:rsidP="00143F52">
      <w:pPr>
        <w:pStyle w:val="Addressess"/>
      </w:pPr>
      <w:r w:rsidRPr="00143F52">
        <w:t xml:space="preserve">For more detailed contact information, visit </w:t>
      </w:r>
      <w:r w:rsidR="00143F52">
        <w:t>www.</w:t>
      </w:r>
      <w:r w:rsidRPr="00143F52">
        <w:t>qld.gov.au/housin</w:t>
      </w:r>
      <w:r w:rsidR="00143F52">
        <w:t xml:space="preserve">g </w:t>
      </w:r>
    </w:p>
    <w:p w:rsidR="00DA0EC5" w:rsidRPr="00143F52" w:rsidRDefault="00DA0EC5" w:rsidP="00143F52">
      <w:pPr>
        <w:pStyle w:val="Addressess"/>
      </w:pPr>
      <w:r w:rsidRPr="00143F52">
        <w:t xml:space="preserve">Housing Service Centres are open 8.30am to 4.30pm Monday to Friday unless stated otherwise. </w:t>
      </w:r>
    </w:p>
    <w:p w:rsidR="00DA0EC5" w:rsidRPr="00143F52" w:rsidRDefault="00DA0EC5" w:rsidP="00143F52">
      <w:pPr>
        <w:pStyle w:val="Addressess"/>
      </w:pPr>
      <w:r w:rsidRPr="00143F52">
        <w:t xml:space="preserve">Email contact: </w:t>
      </w:r>
      <w:hyperlink r:id="rId27" w:history="1">
        <w:r w:rsidR="00143F52" w:rsidRPr="00A91CE8">
          <w:rPr>
            <w:rStyle w:val="Hyperlink"/>
          </w:rPr>
          <w:t>ICCHousingEnquiries@smartservice.qld.gov.au</w:t>
        </w:r>
      </w:hyperlink>
      <w:r w:rsidR="00143F52">
        <w:t xml:space="preserve"> </w:t>
      </w:r>
      <w:r w:rsidRPr="00143F52">
        <w:t xml:space="preserve"> </w:t>
      </w:r>
    </w:p>
    <w:p w:rsidR="00DA0EC5" w:rsidRPr="00DA0EC5" w:rsidRDefault="00DA0EC5" w:rsidP="00574507">
      <w:pPr>
        <w:pStyle w:val="Add-Regions"/>
      </w:pPr>
      <w:r w:rsidRPr="00DA0EC5">
        <w:t xml:space="preserve">Housing and Homelessness Services </w:t>
      </w:r>
    </w:p>
    <w:p w:rsidR="00DA0EC5" w:rsidRPr="00DA0EC5" w:rsidRDefault="00DA0EC5" w:rsidP="00574507">
      <w:pPr>
        <w:pStyle w:val="Addressess"/>
      </w:pPr>
      <w:r w:rsidRPr="00DA0EC5">
        <w:t xml:space="preserve">Level 19, 41 George Street </w:t>
      </w:r>
    </w:p>
    <w:p w:rsidR="00DA0EC5" w:rsidRPr="00DA0EC5" w:rsidRDefault="00DA0EC5" w:rsidP="00574507">
      <w:pPr>
        <w:pStyle w:val="Addressess"/>
      </w:pPr>
      <w:r w:rsidRPr="00DA0EC5">
        <w:t xml:space="preserve">Brisbane Qld 4000 </w:t>
      </w:r>
    </w:p>
    <w:p w:rsidR="00DA0EC5" w:rsidRPr="00DA0EC5" w:rsidRDefault="00DA0EC5" w:rsidP="00574507">
      <w:pPr>
        <w:pStyle w:val="Addressess"/>
      </w:pPr>
      <w:r w:rsidRPr="00DA0EC5">
        <w:t xml:space="preserve">GPO Box 690 </w:t>
      </w:r>
    </w:p>
    <w:p w:rsidR="00DA0EC5" w:rsidRPr="00DA0EC5" w:rsidRDefault="00DA0EC5" w:rsidP="00574507">
      <w:pPr>
        <w:pStyle w:val="Addressess"/>
      </w:pPr>
      <w:r w:rsidRPr="00DA0EC5">
        <w:t xml:space="preserve">Brisbane Qld 4001 </w:t>
      </w:r>
    </w:p>
    <w:p w:rsidR="00DA0EC5" w:rsidRPr="00DA0EC5" w:rsidRDefault="00DA0EC5" w:rsidP="00574507">
      <w:pPr>
        <w:pStyle w:val="Addressess"/>
      </w:pPr>
      <w:r w:rsidRPr="00DA0EC5">
        <w:t xml:space="preserve">Phone: 07 3007 4401 </w:t>
      </w:r>
    </w:p>
    <w:p w:rsidR="00DA0EC5" w:rsidRPr="00DA0EC5" w:rsidRDefault="008B7210" w:rsidP="004550B4">
      <w:pPr>
        <w:pStyle w:val="Add-Regions"/>
      </w:pPr>
      <w:r>
        <w:br w:type="column"/>
      </w:r>
      <w:r w:rsidR="00DA0EC5" w:rsidRPr="00DA0EC5">
        <w:t xml:space="preserve">Far North Queensland Region </w:t>
      </w:r>
    </w:p>
    <w:p w:rsidR="00DA0EC5" w:rsidRPr="00DA0EC5" w:rsidRDefault="00DA0EC5" w:rsidP="004550B4">
      <w:pPr>
        <w:pStyle w:val="Add-type"/>
      </w:pPr>
      <w:r w:rsidRPr="00DA0EC5">
        <w:t xml:space="preserve">Office of the Regional Director, Far North Queensland Region </w:t>
      </w:r>
    </w:p>
    <w:p w:rsidR="00DA0EC5" w:rsidRPr="00DA0EC5" w:rsidRDefault="00DA0EC5" w:rsidP="004550B4">
      <w:pPr>
        <w:pStyle w:val="Addressess"/>
      </w:pPr>
      <w:r w:rsidRPr="00DA0EC5">
        <w:t xml:space="preserve">Level 3, William McCormack Place </w:t>
      </w:r>
    </w:p>
    <w:p w:rsidR="00DA0EC5" w:rsidRPr="00DA0EC5" w:rsidRDefault="00DA0EC5" w:rsidP="004550B4">
      <w:pPr>
        <w:pStyle w:val="Addressess"/>
      </w:pPr>
      <w:r w:rsidRPr="00DA0EC5">
        <w:t xml:space="preserve">5B Sheridan Street </w:t>
      </w:r>
    </w:p>
    <w:p w:rsidR="00DA0EC5" w:rsidRPr="00DA0EC5" w:rsidRDefault="00DA0EC5" w:rsidP="004550B4">
      <w:pPr>
        <w:pStyle w:val="Addressess"/>
      </w:pPr>
      <w:r w:rsidRPr="00DA0EC5">
        <w:t xml:space="preserve">Cairns Qld 4870 </w:t>
      </w:r>
    </w:p>
    <w:p w:rsidR="00DA0EC5" w:rsidRPr="00DA0EC5" w:rsidRDefault="00DA0EC5" w:rsidP="004550B4">
      <w:pPr>
        <w:pStyle w:val="Addressess"/>
      </w:pPr>
      <w:r w:rsidRPr="00DA0EC5">
        <w:t xml:space="preserve">Phone: 07 4036 5538 </w:t>
      </w:r>
    </w:p>
    <w:p w:rsidR="00DA0EC5" w:rsidRPr="00DA0EC5" w:rsidRDefault="00DA0EC5" w:rsidP="004550B4">
      <w:pPr>
        <w:pStyle w:val="Add-Officename"/>
      </w:pPr>
      <w:r w:rsidRPr="00DA0EC5">
        <w:t xml:space="preserve">Cairns Housing Service Centre </w:t>
      </w:r>
    </w:p>
    <w:p w:rsidR="00DA0EC5" w:rsidRPr="00DA0EC5" w:rsidRDefault="00DA0EC5" w:rsidP="004550B4">
      <w:pPr>
        <w:pStyle w:val="Addressess"/>
      </w:pPr>
      <w:r w:rsidRPr="00DA0EC5">
        <w:t xml:space="preserve">Level 3, 5B Sheridan Street </w:t>
      </w:r>
    </w:p>
    <w:p w:rsidR="00DA0EC5" w:rsidRPr="00DA0EC5" w:rsidRDefault="00DA0EC5" w:rsidP="004550B4">
      <w:pPr>
        <w:pStyle w:val="Addressess"/>
      </w:pPr>
      <w:r w:rsidRPr="00DA0EC5">
        <w:t xml:space="preserve">William McCormack Place </w:t>
      </w:r>
    </w:p>
    <w:p w:rsidR="00DA0EC5" w:rsidRPr="00DA0EC5" w:rsidRDefault="00DA0EC5" w:rsidP="004550B4">
      <w:pPr>
        <w:pStyle w:val="Addressess"/>
      </w:pPr>
      <w:r w:rsidRPr="00DA0EC5">
        <w:t xml:space="preserve">PO Box 471 </w:t>
      </w:r>
    </w:p>
    <w:p w:rsidR="00DA0EC5" w:rsidRPr="00DA0EC5" w:rsidRDefault="00DA0EC5" w:rsidP="004550B4">
      <w:pPr>
        <w:pStyle w:val="Addressess"/>
      </w:pPr>
      <w:r w:rsidRPr="00DA0EC5">
        <w:t xml:space="preserve">Cairns Qld 4870 </w:t>
      </w:r>
    </w:p>
    <w:p w:rsidR="00DA0EC5" w:rsidRPr="00DA0EC5" w:rsidRDefault="00DA0EC5" w:rsidP="004550B4">
      <w:pPr>
        <w:pStyle w:val="Addressess"/>
      </w:pPr>
      <w:r w:rsidRPr="00DA0EC5">
        <w:t xml:space="preserve">07 4036 5460 - 1800 623 208 (within area) </w:t>
      </w:r>
    </w:p>
    <w:p w:rsidR="00DA0EC5" w:rsidRPr="00DA0EC5" w:rsidRDefault="00DA0EC5" w:rsidP="004550B4">
      <w:pPr>
        <w:pStyle w:val="Addressess"/>
      </w:pPr>
      <w:r w:rsidRPr="00DA0EC5">
        <w:t xml:space="preserve">Maintenance enquiries: 1300 650 910 </w:t>
      </w:r>
    </w:p>
    <w:p w:rsidR="00DA0EC5" w:rsidRPr="00DA0EC5" w:rsidRDefault="00DA0EC5" w:rsidP="004550B4">
      <w:pPr>
        <w:pStyle w:val="Addressess"/>
      </w:pPr>
      <w:r w:rsidRPr="00DA0EC5">
        <w:t xml:space="preserve">Email:cairnshsc@hpw.qld.gov.au </w:t>
      </w:r>
    </w:p>
    <w:p w:rsidR="00DA0EC5" w:rsidRPr="00DA0EC5" w:rsidRDefault="00DA0EC5" w:rsidP="004550B4">
      <w:pPr>
        <w:pStyle w:val="Add-Officename"/>
      </w:pPr>
      <w:r w:rsidRPr="00DA0EC5">
        <w:t xml:space="preserve">Herberton Queensland Government Agent Program </w:t>
      </w:r>
    </w:p>
    <w:p w:rsidR="00DA0EC5" w:rsidRPr="00DA0EC5" w:rsidRDefault="00DA0EC5" w:rsidP="004550B4">
      <w:pPr>
        <w:pStyle w:val="Addressess"/>
      </w:pPr>
      <w:r w:rsidRPr="00DA0EC5">
        <w:t xml:space="preserve">56 Grace Street, </w:t>
      </w:r>
    </w:p>
    <w:p w:rsidR="00DA0EC5" w:rsidRPr="00DA0EC5" w:rsidRDefault="00DA0EC5" w:rsidP="004550B4">
      <w:pPr>
        <w:pStyle w:val="Addressess"/>
      </w:pPr>
      <w:r w:rsidRPr="00DA0EC5">
        <w:t xml:space="preserve">Herberton Qld 4887 </w:t>
      </w:r>
    </w:p>
    <w:p w:rsidR="00DA0EC5" w:rsidRPr="00DA0EC5" w:rsidRDefault="00DA0EC5" w:rsidP="004550B4">
      <w:pPr>
        <w:pStyle w:val="Addressess"/>
      </w:pPr>
      <w:r w:rsidRPr="00DA0EC5">
        <w:t xml:space="preserve">PO Box 43 Ravenshoe </w:t>
      </w:r>
    </w:p>
    <w:p w:rsidR="00DA0EC5" w:rsidRPr="00DA0EC5" w:rsidRDefault="00DA0EC5" w:rsidP="004550B4">
      <w:pPr>
        <w:pStyle w:val="Addressess"/>
      </w:pPr>
      <w:r w:rsidRPr="00DA0EC5">
        <w:t xml:space="preserve">Phone:07 4097 6660 </w:t>
      </w:r>
    </w:p>
    <w:p w:rsidR="00DA0EC5" w:rsidRPr="00DA0EC5" w:rsidRDefault="00DA0EC5" w:rsidP="004550B4">
      <w:pPr>
        <w:pStyle w:val="Addressess"/>
      </w:pPr>
      <w:r w:rsidRPr="00DA0EC5">
        <w:t xml:space="preserve">9am to 1pm and 1.30pm to 4.30pm Thursday only </w:t>
      </w:r>
    </w:p>
    <w:p w:rsidR="00DA0EC5" w:rsidRPr="00DA0EC5" w:rsidRDefault="00DA0EC5" w:rsidP="004550B4">
      <w:pPr>
        <w:pStyle w:val="Add-Officename"/>
      </w:pPr>
      <w:r w:rsidRPr="00DA0EC5">
        <w:t xml:space="preserve">Malanda Queensland Government Agent Program </w:t>
      </w:r>
    </w:p>
    <w:p w:rsidR="00DA0EC5" w:rsidRPr="00DA0EC5" w:rsidRDefault="00DA0EC5" w:rsidP="004550B4">
      <w:pPr>
        <w:pStyle w:val="Addressess"/>
      </w:pPr>
      <w:r w:rsidRPr="00DA0EC5">
        <w:t xml:space="preserve">Echo Building, 3 English Street </w:t>
      </w:r>
    </w:p>
    <w:p w:rsidR="00DA0EC5" w:rsidRPr="00DA0EC5" w:rsidRDefault="00DA0EC5" w:rsidP="004550B4">
      <w:pPr>
        <w:pStyle w:val="Addressess"/>
      </w:pPr>
      <w:r w:rsidRPr="00DA0EC5">
        <w:t xml:space="preserve">Malanda Qld 4886 </w:t>
      </w:r>
    </w:p>
    <w:p w:rsidR="00DA0EC5" w:rsidRPr="00DA0EC5" w:rsidRDefault="00DA0EC5" w:rsidP="004550B4">
      <w:pPr>
        <w:pStyle w:val="Addressess"/>
      </w:pPr>
      <w:r w:rsidRPr="00DA0EC5">
        <w:t xml:space="preserve">PO Box 43 </w:t>
      </w:r>
    </w:p>
    <w:p w:rsidR="00DA0EC5" w:rsidRPr="00DA0EC5" w:rsidRDefault="00DA0EC5" w:rsidP="004550B4">
      <w:pPr>
        <w:pStyle w:val="Addressess"/>
      </w:pPr>
      <w:r w:rsidRPr="00DA0EC5">
        <w:t xml:space="preserve">Ravenshoe Qld 4888 </w:t>
      </w:r>
    </w:p>
    <w:p w:rsidR="00DA0EC5" w:rsidRPr="00DA0EC5" w:rsidRDefault="00DA0EC5" w:rsidP="004550B4">
      <w:pPr>
        <w:pStyle w:val="Addressess"/>
      </w:pPr>
      <w:r w:rsidRPr="00DA0EC5">
        <w:t xml:space="preserve">Phone: 07 4097 6660 </w:t>
      </w:r>
    </w:p>
    <w:p w:rsidR="00DA0EC5" w:rsidRPr="00DA0EC5" w:rsidRDefault="00DA0EC5" w:rsidP="004550B4">
      <w:pPr>
        <w:pStyle w:val="Addressess"/>
      </w:pPr>
      <w:r w:rsidRPr="00DA0EC5">
        <w:t xml:space="preserve">9.00am to 12.30pm and 1pm to 4pm Friday only </w:t>
      </w:r>
    </w:p>
    <w:p w:rsidR="00DA0EC5" w:rsidRPr="00DA0EC5" w:rsidRDefault="00DA0EC5" w:rsidP="004550B4">
      <w:pPr>
        <w:pStyle w:val="Add-Officename"/>
      </w:pPr>
      <w:r w:rsidRPr="00DA0EC5">
        <w:t xml:space="preserve">Mount Garnet Queensland Government Agent Program </w:t>
      </w:r>
    </w:p>
    <w:p w:rsidR="00DA0EC5" w:rsidRPr="00DA0EC5" w:rsidRDefault="00DA0EC5" w:rsidP="004550B4">
      <w:pPr>
        <w:pStyle w:val="Addressess"/>
      </w:pPr>
      <w:r w:rsidRPr="00DA0EC5">
        <w:t xml:space="preserve">Police Station, Cnr Garnet and Agate Streets </w:t>
      </w:r>
    </w:p>
    <w:p w:rsidR="00DA0EC5" w:rsidRPr="00DA0EC5" w:rsidRDefault="00DA0EC5" w:rsidP="004550B4">
      <w:pPr>
        <w:pStyle w:val="Addressess"/>
      </w:pPr>
      <w:r w:rsidRPr="00DA0EC5">
        <w:t xml:space="preserve">Mount Garnet Qld 4872 </w:t>
      </w:r>
    </w:p>
    <w:p w:rsidR="00DA0EC5" w:rsidRPr="00DA0EC5" w:rsidRDefault="00DA0EC5" w:rsidP="004550B4">
      <w:pPr>
        <w:pStyle w:val="Addressess"/>
      </w:pPr>
      <w:r w:rsidRPr="00DA0EC5">
        <w:t xml:space="preserve">PO Box 43 </w:t>
      </w:r>
    </w:p>
    <w:p w:rsidR="00DA0EC5" w:rsidRPr="00DA0EC5" w:rsidRDefault="00DA0EC5" w:rsidP="004550B4">
      <w:pPr>
        <w:pStyle w:val="Addressess"/>
      </w:pPr>
      <w:r w:rsidRPr="00DA0EC5">
        <w:t xml:space="preserve">Ravenshoe Qld 4888 </w:t>
      </w:r>
    </w:p>
    <w:p w:rsidR="00DA0EC5" w:rsidRPr="00DA0EC5" w:rsidRDefault="00DA0EC5" w:rsidP="004550B4">
      <w:pPr>
        <w:pStyle w:val="Addressess"/>
      </w:pPr>
      <w:r w:rsidRPr="00DA0EC5">
        <w:t xml:space="preserve">Phone: 07 4097 6660 </w:t>
      </w:r>
    </w:p>
    <w:p w:rsidR="00DA0EC5" w:rsidRPr="00DA0EC5" w:rsidRDefault="00DA0EC5" w:rsidP="004550B4">
      <w:pPr>
        <w:pStyle w:val="Addressess"/>
      </w:pPr>
      <w:r w:rsidRPr="00DA0EC5">
        <w:t xml:space="preserve">10.00am to 3.30pm Monday and Wednesdays only </w:t>
      </w:r>
    </w:p>
    <w:p w:rsidR="00DA0EC5" w:rsidRPr="00DA0EC5" w:rsidRDefault="008B7210" w:rsidP="004550B4">
      <w:pPr>
        <w:pStyle w:val="Add-Officename"/>
      </w:pPr>
      <w:r>
        <w:br w:type="column"/>
      </w:r>
      <w:r w:rsidR="00DA0EC5" w:rsidRPr="00DA0EC5">
        <w:lastRenderedPageBreak/>
        <w:t xml:space="preserve">Ravenshoe Queensland Government Agent Program </w:t>
      </w:r>
    </w:p>
    <w:p w:rsidR="00DA0EC5" w:rsidRPr="00DA0EC5" w:rsidRDefault="00DA0EC5" w:rsidP="004550B4">
      <w:pPr>
        <w:pStyle w:val="Addressess"/>
      </w:pPr>
      <w:r w:rsidRPr="00DA0EC5">
        <w:t xml:space="preserve">Grigg Street, PO Box 43 </w:t>
      </w:r>
    </w:p>
    <w:p w:rsidR="00DA0EC5" w:rsidRPr="00DA0EC5" w:rsidRDefault="00DA0EC5" w:rsidP="004550B4">
      <w:pPr>
        <w:pStyle w:val="Addressess"/>
      </w:pPr>
      <w:r w:rsidRPr="00DA0EC5">
        <w:t xml:space="preserve">Ravenshoe Qld 4888 </w:t>
      </w:r>
    </w:p>
    <w:p w:rsidR="00DA0EC5" w:rsidRPr="00DA0EC5" w:rsidRDefault="00DA0EC5" w:rsidP="004550B4">
      <w:pPr>
        <w:pStyle w:val="Addressess"/>
      </w:pPr>
      <w:r w:rsidRPr="00DA0EC5">
        <w:t xml:space="preserve">Phone: 07 4097 6660 </w:t>
      </w:r>
    </w:p>
    <w:p w:rsidR="00DA0EC5" w:rsidRPr="00DA0EC5" w:rsidRDefault="00DA0EC5" w:rsidP="004550B4">
      <w:pPr>
        <w:pStyle w:val="Addressess"/>
      </w:pPr>
      <w:r w:rsidRPr="00DA0EC5">
        <w:t xml:space="preserve">9am to 1pm and 1.30pm to 4.00pm Monday to Friday </w:t>
      </w:r>
    </w:p>
    <w:p w:rsidR="00DA0EC5" w:rsidRPr="00DA0EC5" w:rsidRDefault="00DA0EC5" w:rsidP="004550B4">
      <w:pPr>
        <w:pStyle w:val="Add-Officename"/>
      </w:pPr>
      <w:r w:rsidRPr="00DA0EC5">
        <w:t xml:space="preserve">Cape York Housing Service Centre </w:t>
      </w:r>
    </w:p>
    <w:p w:rsidR="00DA0EC5" w:rsidRPr="00DA0EC5" w:rsidRDefault="00DA0EC5" w:rsidP="004550B4">
      <w:pPr>
        <w:pStyle w:val="Addressess"/>
      </w:pPr>
      <w:r w:rsidRPr="00DA0EC5">
        <w:t xml:space="preserve">Level 3, William McCormack Place 1 </w:t>
      </w:r>
    </w:p>
    <w:p w:rsidR="00DA0EC5" w:rsidRPr="00DA0EC5" w:rsidRDefault="00DA0EC5" w:rsidP="004550B4">
      <w:pPr>
        <w:pStyle w:val="Addressess"/>
      </w:pPr>
      <w:r w:rsidRPr="00DA0EC5">
        <w:t xml:space="preserve">5B Sheridan Street </w:t>
      </w:r>
    </w:p>
    <w:p w:rsidR="00DA0EC5" w:rsidRPr="00DA0EC5" w:rsidRDefault="00DA0EC5" w:rsidP="004550B4">
      <w:pPr>
        <w:pStyle w:val="Addressess"/>
      </w:pPr>
      <w:r w:rsidRPr="00DA0EC5">
        <w:t xml:space="preserve">PO Box 471 </w:t>
      </w:r>
    </w:p>
    <w:p w:rsidR="00DA0EC5" w:rsidRPr="00DA0EC5" w:rsidRDefault="00DA0EC5" w:rsidP="004550B4">
      <w:pPr>
        <w:pStyle w:val="Addressess"/>
      </w:pPr>
      <w:r w:rsidRPr="00DA0EC5">
        <w:t xml:space="preserve">Cairns Qld 4870 </w:t>
      </w:r>
    </w:p>
    <w:p w:rsidR="00DA0EC5" w:rsidRPr="00DA0EC5" w:rsidRDefault="00DA0EC5" w:rsidP="004550B4">
      <w:pPr>
        <w:pStyle w:val="Addressess"/>
      </w:pPr>
      <w:r w:rsidRPr="00DA0EC5">
        <w:t xml:space="preserve">Phone: 07 4036 5555 </w:t>
      </w:r>
    </w:p>
    <w:p w:rsidR="00DA0EC5" w:rsidRPr="00DA0EC5" w:rsidRDefault="00DA0EC5" w:rsidP="004550B4">
      <w:pPr>
        <w:pStyle w:val="Addressess"/>
      </w:pPr>
      <w:r w:rsidRPr="00DA0EC5">
        <w:t xml:space="preserve">Fax: 07 4036 5575 </w:t>
      </w:r>
    </w:p>
    <w:p w:rsidR="00DA0EC5" w:rsidRPr="00DA0EC5" w:rsidRDefault="00DA0EC5" w:rsidP="004550B4">
      <w:pPr>
        <w:pStyle w:val="Add-Officename"/>
      </w:pPr>
      <w:r w:rsidRPr="00DA0EC5">
        <w:t xml:space="preserve">Aurukun </w:t>
      </w:r>
    </w:p>
    <w:p w:rsidR="00DA0EC5" w:rsidRPr="00DA0EC5" w:rsidRDefault="00DA0EC5" w:rsidP="004550B4">
      <w:pPr>
        <w:pStyle w:val="Addressess"/>
      </w:pPr>
      <w:r w:rsidRPr="00DA0EC5">
        <w:t xml:space="preserve">Sam Kerindun Business Centre </w:t>
      </w:r>
    </w:p>
    <w:p w:rsidR="00DA0EC5" w:rsidRPr="00DA0EC5" w:rsidRDefault="00DA0EC5" w:rsidP="004550B4">
      <w:pPr>
        <w:pStyle w:val="Addressess"/>
      </w:pPr>
      <w:r w:rsidRPr="00DA0EC5">
        <w:t xml:space="preserve">502 Kang Kang Road and Kor’an Street </w:t>
      </w:r>
    </w:p>
    <w:p w:rsidR="00DA0EC5" w:rsidRPr="00DA0EC5" w:rsidRDefault="00DA0EC5" w:rsidP="004550B4">
      <w:pPr>
        <w:pStyle w:val="Addressess"/>
      </w:pPr>
      <w:r w:rsidRPr="00DA0EC5">
        <w:t xml:space="preserve">Aurukun Qld 4892 </w:t>
      </w:r>
    </w:p>
    <w:p w:rsidR="00DA0EC5" w:rsidRPr="00DA0EC5" w:rsidRDefault="00DA0EC5" w:rsidP="004550B4">
      <w:pPr>
        <w:pStyle w:val="Addressess"/>
      </w:pPr>
      <w:r w:rsidRPr="00DA0EC5">
        <w:t xml:space="preserve">PO Box 471, Cairns Qld 4870 </w:t>
      </w:r>
    </w:p>
    <w:p w:rsidR="00DA0EC5" w:rsidRPr="00DA0EC5" w:rsidRDefault="00DA0EC5" w:rsidP="004550B4">
      <w:pPr>
        <w:pStyle w:val="Addressess"/>
      </w:pPr>
      <w:r w:rsidRPr="00DA0EC5">
        <w:t xml:space="preserve">Phone: 07 4060 6140 </w:t>
      </w:r>
    </w:p>
    <w:p w:rsidR="00DA0EC5" w:rsidRPr="00DA0EC5" w:rsidRDefault="00DA0EC5" w:rsidP="004550B4">
      <w:pPr>
        <w:pStyle w:val="Addressess"/>
      </w:pPr>
      <w:r w:rsidRPr="00DA0EC5">
        <w:t xml:space="preserve">8.30am to 12.00pm Monday to Friday alternate weeks </w:t>
      </w:r>
    </w:p>
    <w:p w:rsidR="00DA0EC5" w:rsidRPr="004550B4" w:rsidRDefault="00DA0EC5" w:rsidP="004550B4">
      <w:pPr>
        <w:pStyle w:val="Addressess"/>
      </w:pPr>
      <w:r w:rsidRPr="004550B4">
        <w:t xml:space="preserve">If the office is unattended contact the Cape York </w:t>
      </w:r>
    </w:p>
    <w:p w:rsidR="00DA0EC5" w:rsidRPr="004550B4" w:rsidRDefault="00DA0EC5" w:rsidP="004550B4">
      <w:pPr>
        <w:pStyle w:val="Addressess"/>
      </w:pPr>
      <w:r w:rsidRPr="004550B4">
        <w:t xml:space="preserve">Housing Service Centre Cairns </w:t>
      </w:r>
    </w:p>
    <w:p w:rsidR="00DA0EC5" w:rsidRPr="00DA0EC5" w:rsidRDefault="00DA0EC5" w:rsidP="004550B4">
      <w:pPr>
        <w:pStyle w:val="Add-Officename"/>
      </w:pPr>
      <w:r w:rsidRPr="00DA0EC5">
        <w:t xml:space="preserve">Lockhart River </w:t>
      </w:r>
    </w:p>
    <w:p w:rsidR="00DA0EC5" w:rsidRPr="00DA0EC5" w:rsidRDefault="00DA0EC5" w:rsidP="004550B4">
      <w:pPr>
        <w:pStyle w:val="Addressess"/>
      </w:pPr>
      <w:r w:rsidRPr="00DA0EC5">
        <w:t xml:space="preserve">Freddie Clarence Moses Retail Complex </w:t>
      </w:r>
    </w:p>
    <w:p w:rsidR="00DA0EC5" w:rsidRPr="00DA0EC5" w:rsidRDefault="00DA0EC5" w:rsidP="004550B4">
      <w:pPr>
        <w:pStyle w:val="Addressess"/>
      </w:pPr>
      <w:r w:rsidRPr="00DA0EC5">
        <w:t xml:space="preserve">Lot 31, Ilway Street </w:t>
      </w:r>
    </w:p>
    <w:p w:rsidR="00DA0EC5" w:rsidRPr="00DA0EC5" w:rsidRDefault="00DA0EC5" w:rsidP="004550B4">
      <w:pPr>
        <w:pStyle w:val="Addressess"/>
      </w:pPr>
      <w:r w:rsidRPr="00DA0EC5">
        <w:t xml:space="preserve">Lockhart River Qld 4871 </w:t>
      </w:r>
    </w:p>
    <w:p w:rsidR="00DA0EC5" w:rsidRPr="00DA0EC5" w:rsidRDefault="00DA0EC5" w:rsidP="004550B4">
      <w:pPr>
        <w:pStyle w:val="Addressess"/>
      </w:pPr>
      <w:r w:rsidRPr="00DA0EC5">
        <w:t xml:space="preserve">PO Box 471, Cairns Qld 4870 </w:t>
      </w:r>
    </w:p>
    <w:p w:rsidR="00DA0EC5" w:rsidRPr="00DA0EC5" w:rsidRDefault="00DA0EC5" w:rsidP="004550B4">
      <w:pPr>
        <w:pStyle w:val="Addressess"/>
      </w:pPr>
      <w:r w:rsidRPr="00DA0EC5">
        <w:t xml:space="preserve">Phone: 07 4060 7334 </w:t>
      </w:r>
    </w:p>
    <w:p w:rsidR="00DA0EC5" w:rsidRPr="00DA0EC5" w:rsidRDefault="00DA0EC5" w:rsidP="004550B4">
      <w:pPr>
        <w:pStyle w:val="Addressess"/>
      </w:pPr>
      <w:r w:rsidRPr="00DA0EC5">
        <w:t xml:space="preserve">Fax: 07 4060 7089 </w:t>
      </w:r>
    </w:p>
    <w:p w:rsidR="00DA0EC5" w:rsidRPr="00DA0EC5" w:rsidRDefault="00DA0EC5" w:rsidP="004550B4">
      <w:pPr>
        <w:pStyle w:val="Addressess"/>
      </w:pPr>
      <w:r w:rsidRPr="00DA0EC5">
        <w:t xml:space="preserve">Monday to Friday alternate weeks </w:t>
      </w:r>
    </w:p>
    <w:p w:rsidR="00DA0EC5" w:rsidRPr="004550B4" w:rsidRDefault="00DA0EC5" w:rsidP="004550B4">
      <w:pPr>
        <w:pStyle w:val="Addressess"/>
      </w:pPr>
      <w:r w:rsidRPr="004550B4">
        <w:t xml:space="preserve">If the office is unattended contact the Cape York Housing Service Centre Cairns </w:t>
      </w:r>
    </w:p>
    <w:p w:rsidR="00DA0EC5" w:rsidRPr="004550B4" w:rsidRDefault="00DA0EC5" w:rsidP="004550B4">
      <w:pPr>
        <w:pStyle w:val="Add-Officename"/>
      </w:pPr>
      <w:r w:rsidRPr="004550B4">
        <w:t xml:space="preserve">Coen </w:t>
      </w:r>
    </w:p>
    <w:p w:rsidR="00DA0EC5" w:rsidRPr="004550B4" w:rsidRDefault="00DA0EC5" w:rsidP="004550B4">
      <w:pPr>
        <w:pStyle w:val="Addressess"/>
      </w:pPr>
      <w:r w:rsidRPr="004550B4">
        <w:t xml:space="preserve">Wellbeing Centre </w:t>
      </w:r>
    </w:p>
    <w:p w:rsidR="00DA0EC5" w:rsidRPr="004550B4" w:rsidRDefault="00DA0EC5" w:rsidP="004550B4">
      <w:pPr>
        <w:pStyle w:val="Addressess"/>
      </w:pPr>
      <w:r w:rsidRPr="004550B4">
        <w:t xml:space="preserve">1 Taylor Street, Coen Qld 4892 </w:t>
      </w:r>
    </w:p>
    <w:p w:rsidR="00DA0EC5" w:rsidRPr="004550B4" w:rsidRDefault="00DA0EC5" w:rsidP="004550B4">
      <w:pPr>
        <w:pStyle w:val="Addressess"/>
      </w:pPr>
      <w:r w:rsidRPr="004550B4">
        <w:t xml:space="preserve">Monday to Thursday alternate weeks </w:t>
      </w:r>
    </w:p>
    <w:p w:rsidR="00DA0EC5" w:rsidRPr="004550B4" w:rsidRDefault="00DA0EC5" w:rsidP="004550B4">
      <w:pPr>
        <w:pStyle w:val="Addressess"/>
      </w:pPr>
      <w:r w:rsidRPr="004550B4">
        <w:t xml:space="preserve">If the office is unattended contact the Cape York Housing Service Centre Cairns </w:t>
      </w:r>
    </w:p>
    <w:p w:rsidR="00DA0EC5" w:rsidRPr="00DA0EC5" w:rsidRDefault="00DA0EC5" w:rsidP="004550B4">
      <w:pPr>
        <w:pStyle w:val="Add-Officename"/>
      </w:pPr>
      <w:r w:rsidRPr="00DA0EC5">
        <w:t xml:space="preserve">Pormpuraaw </w:t>
      </w:r>
    </w:p>
    <w:p w:rsidR="00DA0EC5" w:rsidRPr="00DA0EC5" w:rsidRDefault="00DA0EC5" w:rsidP="004550B4">
      <w:pPr>
        <w:pStyle w:val="Addressess"/>
      </w:pPr>
      <w:r w:rsidRPr="00DA0EC5">
        <w:t xml:space="preserve">19 Pormpuraaw Street </w:t>
      </w:r>
    </w:p>
    <w:p w:rsidR="00DA0EC5" w:rsidRPr="00DA0EC5" w:rsidRDefault="00DA0EC5" w:rsidP="004550B4">
      <w:pPr>
        <w:pStyle w:val="Addressess"/>
      </w:pPr>
      <w:r w:rsidRPr="00DA0EC5">
        <w:t xml:space="preserve">Pormpuraaw Qld 4871 </w:t>
      </w:r>
    </w:p>
    <w:p w:rsidR="00DA0EC5" w:rsidRPr="00DA0EC5" w:rsidRDefault="00DA0EC5" w:rsidP="004550B4">
      <w:pPr>
        <w:pStyle w:val="Addressess"/>
      </w:pPr>
      <w:r w:rsidRPr="00DA0EC5">
        <w:t xml:space="preserve">Phone: 07 4051 0459 </w:t>
      </w:r>
    </w:p>
    <w:p w:rsidR="00DA0EC5" w:rsidRPr="00DA0EC5" w:rsidRDefault="00DA0EC5" w:rsidP="004550B4">
      <w:pPr>
        <w:pStyle w:val="Addressess"/>
      </w:pPr>
      <w:r w:rsidRPr="00DA0EC5">
        <w:t xml:space="preserve">Monday to Friday alternate weeks </w:t>
      </w:r>
    </w:p>
    <w:p w:rsidR="00DA0EC5" w:rsidRPr="00DA0EC5" w:rsidRDefault="00DA0EC5" w:rsidP="004550B4">
      <w:pPr>
        <w:pStyle w:val="Addressess"/>
      </w:pPr>
      <w:r w:rsidRPr="00DA0EC5">
        <w:t xml:space="preserve">If the office is unattended contact the Cape York Housing Service Centre Cairns </w:t>
      </w:r>
    </w:p>
    <w:p w:rsidR="00DA0EC5" w:rsidRPr="00DA0EC5" w:rsidRDefault="00DA0EC5" w:rsidP="004550B4">
      <w:pPr>
        <w:pStyle w:val="Add-Officename"/>
      </w:pPr>
      <w:r w:rsidRPr="00DA0EC5">
        <w:t xml:space="preserve">Kowanyama </w:t>
      </w:r>
    </w:p>
    <w:p w:rsidR="00DA0EC5" w:rsidRPr="00DA0EC5" w:rsidRDefault="00DA0EC5" w:rsidP="004550B4">
      <w:pPr>
        <w:pStyle w:val="Addressess"/>
      </w:pPr>
      <w:r w:rsidRPr="00DA0EC5">
        <w:t xml:space="preserve">The Old Guest House </w:t>
      </w:r>
    </w:p>
    <w:p w:rsidR="00DA0EC5" w:rsidRPr="00DA0EC5" w:rsidRDefault="00DA0EC5" w:rsidP="004550B4">
      <w:pPr>
        <w:pStyle w:val="Addressess"/>
      </w:pPr>
      <w:r w:rsidRPr="00DA0EC5">
        <w:t xml:space="preserve">Chapman Road </w:t>
      </w:r>
    </w:p>
    <w:p w:rsidR="00DA0EC5" w:rsidRPr="00DA0EC5" w:rsidRDefault="00DA0EC5" w:rsidP="004550B4">
      <w:pPr>
        <w:pStyle w:val="Addressess"/>
      </w:pPr>
      <w:r w:rsidRPr="00DA0EC5">
        <w:t xml:space="preserve">Kowanyama Qld 4871 </w:t>
      </w:r>
    </w:p>
    <w:p w:rsidR="00DA0EC5" w:rsidRPr="00DA0EC5" w:rsidRDefault="00DA0EC5" w:rsidP="004550B4">
      <w:pPr>
        <w:pStyle w:val="Addressess"/>
      </w:pPr>
      <w:r w:rsidRPr="00DA0EC5">
        <w:t xml:space="preserve">Monday to Friday alternate weeks </w:t>
      </w:r>
    </w:p>
    <w:p w:rsidR="00DA0EC5" w:rsidRPr="00DA0EC5" w:rsidRDefault="00DA0EC5" w:rsidP="004550B4">
      <w:pPr>
        <w:pStyle w:val="Addressess"/>
      </w:pPr>
      <w:r w:rsidRPr="00DA0EC5">
        <w:t xml:space="preserve">If the office is unattended contact the Cape York Housing Service Centre Cairns </w:t>
      </w:r>
    </w:p>
    <w:p w:rsidR="00DA0EC5" w:rsidRPr="004550B4" w:rsidRDefault="00DA0EC5" w:rsidP="00DA0EC5">
      <w:pPr>
        <w:autoSpaceDE w:val="0"/>
        <w:autoSpaceDN w:val="0"/>
        <w:adjustRightInd w:val="0"/>
        <w:spacing w:before="100" w:after="20" w:line="201" w:lineRule="atLeast"/>
        <w:rPr>
          <w:rStyle w:val="Add-OfficenameChar"/>
        </w:rPr>
      </w:pPr>
      <w:r w:rsidRPr="004550B4">
        <w:rPr>
          <w:rStyle w:val="Add-OfficenameChar"/>
        </w:rPr>
        <w:t xml:space="preserve">Cooktown Hub – Laura, Cooktown, Hope Vale and Wujal Wujal </w:t>
      </w:r>
    </w:p>
    <w:p w:rsidR="00DA0EC5" w:rsidRPr="00DA0EC5" w:rsidRDefault="00DA0EC5" w:rsidP="004550B4">
      <w:pPr>
        <w:pStyle w:val="Addressess"/>
      </w:pPr>
      <w:r w:rsidRPr="00DA0EC5">
        <w:t xml:space="preserve">12 Walker Street </w:t>
      </w:r>
    </w:p>
    <w:p w:rsidR="00DA0EC5" w:rsidRPr="00DA0EC5" w:rsidRDefault="00DA0EC5" w:rsidP="004550B4">
      <w:pPr>
        <w:pStyle w:val="Addressess"/>
      </w:pPr>
      <w:r w:rsidRPr="00DA0EC5">
        <w:t xml:space="preserve">PO Box 988 </w:t>
      </w:r>
    </w:p>
    <w:p w:rsidR="00DA0EC5" w:rsidRPr="00DA0EC5" w:rsidRDefault="00DA0EC5" w:rsidP="004550B4">
      <w:pPr>
        <w:pStyle w:val="Addressess"/>
      </w:pPr>
      <w:r w:rsidRPr="00DA0EC5">
        <w:t xml:space="preserve">Cooktown Qld 4895 </w:t>
      </w:r>
    </w:p>
    <w:p w:rsidR="00DA0EC5" w:rsidRPr="00DA0EC5" w:rsidRDefault="00DA0EC5" w:rsidP="004550B4">
      <w:pPr>
        <w:pStyle w:val="Addressess"/>
      </w:pPr>
      <w:r w:rsidRPr="00DA0EC5">
        <w:t xml:space="preserve">Phone: 07 4082 2300 </w:t>
      </w:r>
    </w:p>
    <w:p w:rsidR="00DA0EC5" w:rsidRPr="00DA0EC5" w:rsidRDefault="00DA0EC5" w:rsidP="004550B4">
      <w:pPr>
        <w:pStyle w:val="Addressess"/>
      </w:pPr>
      <w:r w:rsidRPr="00DA0EC5">
        <w:t xml:space="preserve">Fax: 07 4069 5098 </w:t>
      </w:r>
    </w:p>
    <w:p w:rsidR="00DA0EC5" w:rsidRPr="00DA0EC5" w:rsidRDefault="00DA0EC5" w:rsidP="004550B4">
      <w:pPr>
        <w:pStyle w:val="Addressess"/>
      </w:pPr>
      <w:r w:rsidRPr="00DA0EC5">
        <w:t xml:space="preserve">Email: HHS-Cooktown-Hub@hpw.qld.gov.au </w:t>
      </w:r>
    </w:p>
    <w:p w:rsidR="00DA0EC5" w:rsidRPr="00DA0EC5" w:rsidRDefault="00DA0EC5" w:rsidP="004550B4">
      <w:pPr>
        <w:pStyle w:val="Addressess"/>
      </w:pPr>
      <w:r w:rsidRPr="00DA0EC5">
        <w:t xml:space="preserve">Maintenance enquiries: </w:t>
      </w:r>
    </w:p>
    <w:p w:rsidR="00DA0EC5" w:rsidRPr="00DA0EC5" w:rsidRDefault="00DA0EC5" w:rsidP="004550B4">
      <w:pPr>
        <w:pStyle w:val="Addressess"/>
      </w:pPr>
      <w:r w:rsidRPr="00DA0EC5">
        <w:t xml:space="preserve">1300 650 910 </w:t>
      </w:r>
    </w:p>
    <w:p w:rsidR="00DA0EC5" w:rsidRDefault="00DA0EC5" w:rsidP="004550B4">
      <w:pPr>
        <w:pStyle w:val="Addressess"/>
      </w:pPr>
      <w:r w:rsidRPr="00DA0EC5">
        <w:t>If the office is unattended contact the Cape York Housing Service Centre Cairns</w:t>
      </w:r>
    </w:p>
    <w:p w:rsidR="00DA0EC5" w:rsidRPr="00DA0EC5" w:rsidRDefault="00DA0EC5" w:rsidP="004550B4">
      <w:pPr>
        <w:pStyle w:val="Add-Officename"/>
      </w:pPr>
      <w:r w:rsidRPr="00DA0EC5">
        <w:t xml:space="preserve">Hope Vale </w:t>
      </w:r>
    </w:p>
    <w:p w:rsidR="00DA0EC5" w:rsidRPr="00DA0EC5" w:rsidRDefault="00DA0EC5" w:rsidP="004550B4">
      <w:pPr>
        <w:pStyle w:val="Addressess"/>
      </w:pPr>
      <w:r w:rsidRPr="00DA0EC5">
        <w:t xml:space="preserve">1 Muni Street </w:t>
      </w:r>
    </w:p>
    <w:p w:rsidR="00DA0EC5" w:rsidRPr="00DA0EC5" w:rsidRDefault="00DA0EC5" w:rsidP="004550B4">
      <w:pPr>
        <w:pStyle w:val="Addressess"/>
      </w:pPr>
      <w:r w:rsidRPr="00DA0EC5">
        <w:t xml:space="preserve">Hope Vale Council Office Complex </w:t>
      </w:r>
    </w:p>
    <w:p w:rsidR="00DA0EC5" w:rsidRPr="00DA0EC5" w:rsidRDefault="00DA0EC5" w:rsidP="004550B4">
      <w:pPr>
        <w:pStyle w:val="Addressess"/>
      </w:pPr>
      <w:r w:rsidRPr="00DA0EC5">
        <w:t xml:space="preserve">PO Box 988 </w:t>
      </w:r>
    </w:p>
    <w:p w:rsidR="00DA0EC5" w:rsidRPr="00DA0EC5" w:rsidRDefault="00DA0EC5" w:rsidP="004550B4">
      <w:pPr>
        <w:pStyle w:val="Addressess"/>
      </w:pPr>
      <w:r w:rsidRPr="00DA0EC5">
        <w:t xml:space="preserve">Cooktown Qld 4895 </w:t>
      </w:r>
    </w:p>
    <w:p w:rsidR="00DA0EC5" w:rsidRPr="00DA0EC5" w:rsidRDefault="00DA0EC5" w:rsidP="004550B4">
      <w:pPr>
        <w:pStyle w:val="Addressess"/>
      </w:pPr>
      <w:r w:rsidRPr="00DA0EC5">
        <w:t xml:space="preserve">Phone: 07 4060 9231 and 07 4060 9182 </w:t>
      </w:r>
    </w:p>
    <w:p w:rsidR="00DA0EC5" w:rsidRPr="00DA0EC5" w:rsidRDefault="00DA0EC5" w:rsidP="004550B4">
      <w:pPr>
        <w:pStyle w:val="Addressess"/>
      </w:pPr>
      <w:r w:rsidRPr="00DA0EC5">
        <w:t xml:space="preserve">Fax 07 4060 9184 </w:t>
      </w:r>
    </w:p>
    <w:p w:rsidR="00DA0EC5" w:rsidRPr="00DA0EC5" w:rsidRDefault="00DA0EC5" w:rsidP="004550B4">
      <w:pPr>
        <w:pStyle w:val="Addressess"/>
      </w:pPr>
      <w:r w:rsidRPr="00DA0EC5">
        <w:t xml:space="preserve">9.00am to 4.30pm Monday to Thursday </w:t>
      </w:r>
    </w:p>
    <w:p w:rsidR="00DA0EC5" w:rsidRPr="00DA0EC5" w:rsidRDefault="00DA0EC5" w:rsidP="004550B4">
      <w:pPr>
        <w:pStyle w:val="Addressess"/>
      </w:pPr>
      <w:r w:rsidRPr="00DA0EC5">
        <w:t xml:space="preserve">Friday 9am to 1pm </w:t>
      </w:r>
    </w:p>
    <w:p w:rsidR="00DA0EC5" w:rsidRPr="00DA0EC5" w:rsidRDefault="00DA0EC5" w:rsidP="004550B4">
      <w:pPr>
        <w:pStyle w:val="Addressess"/>
        <w:rPr>
          <w:rFonts w:ascii="MetaBoldLF-Roman" w:hAnsi="MetaBoldLF-Roman" w:cs="MetaBoldLF-Roman"/>
          <w:color w:val="000000"/>
        </w:rPr>
      </w:pPr>
      <w:r w:rsidRPr="00DA0EC5">
        <w:t xml:space="preserve">If the office is unattended contact Cooktown Hub or Cape York Housing Service Centre Cairns </w:t>
      </w:r>
    </w:p>
    <w:p w:rsidR="00DA0EC5" w:rsidRPr="00DA0EC5" w:rsidRDefault="00DA0EC5" w:rsidP="004550B4">
      <w:pPr>
        <w:pStyle w:val="Add-Officename"/>
      </w:pPr>
      <w:r w:rsidRPr="00DA0EC5">
        <w:t xml:space="preserve">Wujal Wujal </w:t>
      </w:r>
    </w:p>
    <w:p w:rsidR="00DA0EC5" w:rsidRPr="00DA0EC5" w:rsidRDefault="00DA0EC5" w:rsidP="004550B4">
      <w:pPr>
        <w:pStyle w:val="Addressess"/>
      </w:pPr>
      <w:r w:rsidRPr="00DA0EC5">
        <w:t xml:space="preserve">127 Hartwig Street </w:t>
      </w:r>
    </w:p>
    <w:p w:rsidR="00DA0EC5" w:rsidRPr="00DA0EC5" w:rsidRDefault="00DA0EC5" w:rsidP="004550B4">
      <w:pPr>
        <w:pStyle w:val="Addressess"/>
      </w:pPr>
      <w:r w:rsidRPr="00DA0EC5">
        <w:t xml:space="preserve">PO Box 988 </w:t>
      </w:r>
    </w:p>
    <w:p w:rsidR="00DA0EC5" w:rsidRPr="00DA0EC5" w:rsidRDefault="00DA0EC5" w:rsidP="004550B4">
      <w:pPr>
        <w:pStyle w:val="Addressess"/>
      </w:pPr>
      <w:r w:rsidRPr="00DA0EC5">
        <w:t xml:space="preserve">Cooktown Qld 4895 </w:t>
      </w:r>
    </w:p>
    <w:p w:rsidR="00DA0EC5" w:rsidRPr="00DA0EC5" w:rsidRDefault="00DA0EC5" w:rsidP="004550B4">
      <w:pPr>
        <w:pStyle w:val="Addressess"/>
      </w:pPr>
      <w:r w:rsidRPr="00DA0EC5">
        <w:t xml:space="preserve">Phone: 07 4060 8360 </w:t>
      </w:r>
    </w:p>
    <w:p w:rsidR="00DA0EC5" w:rsidRPr="00DA0EC5" w:rsidRDefault="00DA0EC5" w:rsidP="004550B4">
      <w:pPr>
        <w:pStyle w:val="Addressess"/>
      </w:pPr>
      <w:r w:rsidRPr="00DA0EC5">
        <w:t xml:space="preserve">10am to 3pm Tuesday </w:t>
      </w:r>
    </w:p>
    <w:p w:rsidR="00DA0EC5" w:rsidRPr="00DA0EC5" w:rsidRDefault="00DA0EC5" w:rsidP="004550B4">
      <w:pPr>
        <w:pStyle w:val="Addressess"/>
      </w:pPr>
      <w:r w:rsidRPr="00DA0EC5">
        <w:t xml:space="preserve">If the office is unattended contact Cooktown Hub or Cape York Housing Service Centre Cairns </w:t>
      </w:r>
    </w:p>
    <w:p w:rsidR="00DA0EC5" w:rsidRPr="00DA0EC5" w:rsidRDefault="00DA0EC5" w:rsidP="004550B4">
      <w:pPr>
        <w:pStyle w:val="Add-Officename"/>
      </w:pPr>
      <w:r w:rsidRPr="00DA0EC5">
        <w:t xml:space="preserve">Northern Peninsula Hub – Bamaga, Seisia, Injinoo, Umagico, New Mapoon </w:t>
      </w:r>
    </w:p>
    <w:p w:rsidR="00DA0EC5" w:rsidRPr="00DA0EC5" w:rsidRDefault="00DA0EC5" w:rsidP="004550B4">
      <w:pPr>
        <w:pStyle w:val="Addressess"/>
      </w:pPr>
      <w:r w:rsidRPr="00DA0EC5">
        <w:t xml:space="preserve">203 Mugai Street </w:t>
      </w:r>
    </w:p>
    <w:p w:rsidR="00DA0EC5" w:rsidRPr="00DA0EC5" w:rsidRDefault="00DA0EC5" w:rsidP="004550B4">
      <w:pPr>
        <w:pStyle w:val="Addressess"/>
      </w:pPr>
      <w:r w:rsidRPr="00DA0EC5">
        <w:t xml:space="preserve">Seisia Qld 4876 </w:t>
      </w:r>
    </w:p>
    <w:p w:rsidR="00DA0EC5" w:rsidRPr="00DA0EC5" w:rsidRDefault="00DA0EC5" w:rsidP="004550B4">
      <w:pPr>
        <w:pStyle w:val="Addressess"/>
      </w:pPr>
      <w:r w:rsidRPr="00DA0EC5">
        <w:t xml:space="preserve">8.30am to 4.30pm Monday to Friday </w:t>
      </w:r>
    </w:p>
    <w:p w:rsidR="00DA0EC5" w:rsidRPr="00DA0EC5" w:rsidRDefault="00DA0EC5" w:rsidP="004550B4">
      <w:pPr>
        <w:pStyle w:val="Addressess"/>
      </w:pPr>
      <w:r w:rsidRPr="00DA0EC5">
        <w:t xml:space="preserve">PO Box 77 Bamaga Qld 4876 </w:t>
      </w:r>
    </w:p>
    <w:p w:rsidR="00DA0EC5" w:rsidRPr="00DA0EC5" w:rsidRDefault="00DA0EC5" w:rsidP="004550B4">
      <w:pPr>
        <w:pStyle w:val="Addressess"/>
      </w:pPr>
      <w:r w:rsidRPr="00DA0EC5">
        <w:t xml:space="preserve">Phone: 07 4069 3588 or 07 4069 3599 </w:t>
      </w:r>
    </w:p>
    <w:p w:rsidR="00DA0EC5" w:rsidRPr="00DA0EC5" w:rsidRDefault="00DA0EC5" w:rsidP="004550B4">
      <w:pPr>
        <w:pStyle w:val="Addressess"/>
      </w:pPr>
      <w:r w:rsidRPr="00DA0EC5">
        <w:t xml:space="preserve">Email: HHS-NPA@hpw.qld.gov.au </w:t>
      </w:r>
    </w:p>
    <w:p w:rsidR="00DA0EC5" w:rsidRPr="00DA0EC5" w:rsidRDefault="00DA0EC5" w:rsidP="004550B4">
      <w:pPr>
        <w:pStyle w:val="Add-Officename"/>
      </w:pPr>
      <w:r w:rsidRPr="00DA0EC5">
        <w:t xml:space="preserve">Weipa Hub Office – Napranum, Mapoon </w:t>
      </w:r>
    </w:p>
    <w:p w:rsidR="00DA0EC5" w:rsidRPr="00DA0EC5" w:rsidRDefault="00DA0EC5" w:rsidP="004550B4">
      <w:pPr>
        <w:pStyle w:val="Addressess"/>
      </w:pPr>
      <w:r w:rsidRPr="00DA0EC5">
        <w:t xml:space="preserve">Corner Kerr Point Road and Commercial Avenue </w:t>
      </w:r>
    </w:p>
    <w:p w:rsidR="00DA0EC5" w:rsidRPr="00DA0EC5" w:rsidRDefault="00DA0EC5" w:rsidP="004550B4">
      <w:pPr>
        <w:pStyle w:val="Addressess"/>
      </w:pPr>
      <w:r w:rsidRPr="00DA0EC5">
        <w:t xml:space="preserve">PO Box 1330 </w:t>
      </w:r>
    </w:p>
    <w:p w:rsidR="00DA0EC5" w:rsidRPr="00DA0EC5" w:rsidRDefault="00DA0EC5" w:rsidP="004550B4">
      <w:pPr>
        <w:pStyle w:val="Addressess"/>
      </w:pPr>
      <w:r w:rsidRPr="00DA0EC5">
        <w:t xml:space="preserve">Weipa Qld 4874 </w:t>
      </w:r>
    </w:p>
    <w:p w:rsidR="00DA0EC5" w:rsidRPr="00DA0EC5" w:rsidRDefault="00DA0EC5" w:rsidP="004550B4">
      <w:pPr>
        <w:pStyle w:val="Addressess"/>
      </w:pPr>
      <w:r w:rsidRPr="00DA0EC5">
        <w:t xml:space="preserve">Phone: 07 4082 4702 </w:t>
      </w:r>
    </w:p>
    <w:p w:rsidR="00DA0EC5" w:rsidRPr="00DA0EC5" w:rsidRDefault="00DA0EC5" w:rsidP="004550B4">
      <w:pPr>
        <w:pStyle w:val="Addressess"/>
      </w:pPr>
      <w:r w:rsidRPr="00DA0EC5">
        <w:t xml:space="preserve">Fax: 07 4069 7348 </w:t>
      </w:r>
    </w:p>
    <w:p w:rsidR="00DA0EC5" w:rsidRPr="00DA0EC5" w:rsidRDefault="00DA0EC5" w:rsidP="004550B4">
      <w:pPr>
        <w:pStyle w:val="Addressess"/>
      </w:pPr>
      <w:r w:rsidRPr="00DA0EC5">
        <w:t xml:space="preserve">Maintenance enquiries 1300 650 910 </w:t>
      </w:r>
    </w:p>
    <w:p w:rsidR="00DA0EC5" w:rsidRPr="00DA0EC5" w:rsidRDefault="00DA0EC5" w:rsidP="004550B4">
      <w:pPr>
        <w:pStyle w:val="Addressess"/>
      </w:pPr>
      <w:r w:rsidRPr="00DA0EC5">
        <w:t xml:space="preserve">If the office is unattended contact the Cape York Housing Service Centre Cairns </w:t>
      </w:r>
    </w:p>
    <w:p w:rsidR="00DA0EC5" w:rsidRPr="00DA0EC5" w:rsidRDefault="00DA0EC5" w:rsidP="004550B4">
      <w:pPr>
        <w:pStyle w:val="Add-Officename"/>
      </w:pPr>
      <w:r w:rsidRPr="00DA0EC5">
        <w:t xml:space="preserve">Mapoon </w:t>
      </w:r>
    </w:p>
    <w:p w:rsidR="00DA0EC5" w:rsidRPr="00DA0EC5" w:rsidRDefault="00DA0EC5" w:rsidP="004550B4">
      <w:pPr>
        <w:pStyle w:val="Addressess"/>
      </w:pPr>
      <w:r w:rsidRPr="00DA0EC5">
        <w:t xml:space="preserve">1 Red Beach Road </w:t>
      </w:r>
    </w:p>
    <w:p w:rsidR="00DA0EC5" w:rsidRPr="00DA0EC5" w:rsidRDefault="00DA0EC5" w:rsidP="004550B4">
      <w:pPr>
        <w:pStyle w:val="Addressess"/>
      </w:pPr>
      <w:r w:rsidRPr="00DA0EC5">
        <w:t xml:space="preserve">Mapoon Qld 4874 </w:t>
      </w:r>
    </w:p>
    <w:p w:rsidR="00DA0EC5" w:rsidRPr="00DA0EC5" w:rsidRDefault="00DA0EC5" w:rsidP="004550B4">
      <w:pPr>
        <w:pStyle w:val="Addressess"/>
      </w:pPr>
      <w:r w:rsidRPr="00DA0EC5">
        <w:t xml:space="preserve">PO Box 1330 Weipa Qld 4874 </w:t>
      </w:r>
    </w:p>
    <w:p w:rsidR="00DA0EC5" w:rsidRPr="00DA0EC5" w:rsidRDefault="00DA0EC5" w:rsidP="004550B4">
      <w:pPr>
        <w:pStyle w:val="Addressess"/>
      </w:pPr>
      <w:r w:rsidRPr="00DA0EC5">
        <w:t xml:space="preserve">07 4090 9012 </w:t>
      </w:r>
    </w:p>
    <w:p w:rsidR="00DA0EC5" w:rsidRPr="00DA0EC5" w:rsidRDefault="00DA0EC5" w:rsidP="004550B4">
      <w:pPr>
        <w:pStyle w:val="Addressess"/>
      </w:pPr>
      <w:r w:rsidRPr="00DA0EC5">
        <w:t xml:space="preserve">Phone: 07 4036 5555 </w:t>
      </w:r>
    </w:p>
    <w:p w:rsidR="00DA0EC5" w:rsidRPr="00DA0EC5" w:rsidRDefault="00DA0EC5" w:rsidP="004550B4">
      <w:pPr>
        <w:pStyle w:val="Addressess"/>
      </w:pPr>
      <w:r w:rsidRPr="00DA0EC5">
        <w:t xml:space="preserve">8.30am to 4.00pm Monday to Thursday </w:t>
      </w:r>
    </w:p>
    <w:p w:rsidR="00DA0EC5" w:rsidRPr="00DA0EC5" w:rsidRDefault="00DA0EC5" w:rsidP="004550B4">
      <w:pPr>
        <w:pStyle w:val="Addressess"/>
        <w:rPr>
          <w:rFonts w:ascii="MetaBoldLF-Roman" w:hAnsi="MetaBoldLF-Roman" w:cs="MetaBoldLF-Roman"/>
          <w:color w:val="000000"/>
        </w:rPr>
      </w:pPr>
      <w:r w:rsidRPr="00DA0EC5">
        <w:t xml:space="preserve">If the office is unattended contact Weipa Hub or Cape York Housing Service Centre Cairns </w:t>
      </w:r>
    </w:p>
    <w:p w:rsidR="00DA0EC5" w:rsidRPr="00DA0EC5" w:rsidRDefault="00DA0EC5" w:rsidP="004550B4">
      <w:pPr>
        <w:pStyle w:val="Add-Officename"/>
      </w:pPr>
      <w:r w:rsidRPr="00DA0EC5">
        <w:t xml:space="preserve">Napranum Community Office </w:t>
      </w:r>
    </w:p>
    <w:p w:rsidR="00DA0EC5" w:rsidRPr="00DA0EC5" w:rsidRDefault="00DA0EC5" w:rsidP="004550B4">
      <w:pPr>
        <w:pStyle w:val="Addressess"/>
      </w:pPr>
      <w:r w:rsidRPr="00DA0EC5">
        <w:t xml:space="preserve">3201 Wa-Tyne Street </w:t>
      </w:r>
    </w:p>
    <w:p w:rsidR="00DA0EC5" w:rsidRPr="00DA0EC5" w:rsidRDefault="00DA0EC5" w:rsidP="004550B4">
      <w:pPr>
        <w:pStyle w:val="Addressess"/>
      </w:pPr>
      <w:r w:rsidRPr="00DA0EC5">
        <w:t xml:space="preserve">Napranum Qld 4874 </w:t>
      </w:r>
    </w:p>
    <w:p w:rsidR="00DA0EC5" w:rsidRPr="00DA0EC5" w:rsidRDefault="00DA0EC5" w:rsidP="004550B4">
      <w:pPr>
        <w:pStyle w:val="Addressess"/>
      </w:pPr>
      <w:r w:rsidRPr="00DA0EC5">
        <w:t xml:space="preserve">PO Box 1330 </w:t>
      </w:r>
    </w:p>
    <w:p w:rsidR="00DA0EC5" w:rsidRPr="00DA0EC5" w:rsidRDefault="00DA0EC5" w:rsidP="004550B4">
      <w:pPr>
        <w:pStyle w:val="Addressess"/>
      </w:pPr>
      <w:r w:rsidRPr="00DA0EC5">
        <w:t xml:space="preserve">Weipa Qld 4874 </w:t>
      </w:r>
    </w:p>
    <w:p w:rsidR="00DA0EC5" w:rsidRPr="00DA0EC5" w:rsidRDefault="00DA0EC5" w:rsidP="004550B4">
      <w:pPr>
        <w:pStyle w:val="Addressess"/>
      </w:pPr>
      <w:r w:rsidRPr="00DA0EC5">
        <w:t xml:space="preserve">Phone: No listing </w:t>
      </w:r>
    </w:p>
    <w:p w:rsidR="00DA0EC5" w:rsidRPr="00DA0EC5" w:rsidRDefault="00DA0EC5" w:rsidP="004550B4">
      <w:pPr>
        <w:pStyle w:val="Addressess"/>
        <w:rPr>
          <w:rFonts w:ascii="MetaBoldLF-Roman" w:hAnsi="MetaBoldLF-Roman" w:cs="MetaBoldLF-Roman"/>
          <w:color w:val="000000"/>
        </w:rPr>
      </w:pPr>
      <w:r w:rsidRPr="00DA0EC5">
        <w:t xml:space="preserve">If the office is unattended contact Weipa Hub or Cape York Housing Service Centre Cairns </w:t>
      </w:r>
    </w:p>
    <w:p w:rsidR="00DA0EC5" w:rsidRPr="00DA0EC5" w:rsidRDefault="00DA0EC5" w:rsidP="004550B4">
      <w:pPr>
        <w:pStyle w:val="Add-Officename"/>
      </w:pPr>
      <w:r w:rsidRPr="00DA0EC5">
        <w:t xml:space="preserve">Thursday Island Housing Service Centre </w:t>
      </w:r>
    </w:p>
    <w:p w:rsidR="00DA0EC5" w:rsidRPr="00DA0EC5" w:rsidRDefault="00DA0EC5" w:rsidP="004550B4">
      <w:pPr>
        <w:pStyle w:val="Addressess"/>
      </w:pPr>
      <w:r w:rsidRPr="00DA0EC5">
        <w:t xml:space="preserve">37–45 Douglas Street </w:t>
      </w:r>
    </w:p>
    <w:p w:rsidR="00DA0EC5" w:rsidRPr="00DA0EC5" w:rsidRDefault="00DA0EC5" w:rsidP="004550B4">
      <w:pPr>
        <w:pStyle w:val="Addressess"/>
      </w:pPr>
      <w:r w:rsidRPr="00DA0EC5">
        <w:t xml:space="preserve">PO Box 514 </w:t>
      </w:r>
    </w:p>
    <w:p w:rsidR="00DA0EC5" w:rsidRPr="00DA0EC5" w:rsidRDefault="00DA0EC5" w:rsidP="004550B4">
      <w:pPr>
        <w:pStyle w:val="Addressess"/>
      </w:pPr>
      <w:r w:rsidRPr="00DA0EC5">
        <w:t xml:space="preserve">Thursday Island Qld 4875 </w:t>
      </w:r>
    </w:p>
    <w:p w:rsidR="00DA0EC5" w:rsidRPr="00DA0EC5" w:rsidRDefault="00DA0EC5" w:rsidP="004550B4">
      <w:pPr>
        <w:pStyle w:val="Addressess"/>
      </w:pPr>
      <w:r w:rsidRPr="00DA0EC5">
        <w:t xml:space="preserve">Phone: 07 4212 3700 </w:t>
      </w:r>
    </w:p>
    <w:p w:rsidR="00DA0EC5" w:rsidRPr="00DA0EC5" w:rsidRDefault="00DA0EC5" w:rsidP="004550B4">
      <w:pPr>
        <w:pStyle w:val="Addressess"/>
      </w:pPr>
      <w:r w:rsidRPr="00DA0EC5">
        <w:t xml:space="preserve">Fax: 07 4090 3782 </w:t>
      </w:r>
    </w:p>
    <w:p w:rsidR="00DA0EC5" w:rsidRPr="00DA0EC5" w:rsidRDefault="00DA0EC5" w:rsidP="004550B4">
      <w:pPr>
        <w:pStyle w:val="Addressess"/>
      </w:pPr>
      <w:r w:rsidRPr="00DA0EC5">
        <w:lastRenderedPageBreak/>
        <w:t xml:space="preserve">Email: thursdayislandhsc@hpw.qld.gov.au </w:t>
      </w:r>
    </w:p>
    <w:p w:rsidR="00DA0EC5" w:rsidRPr="00DA0EC5" w:rsidRDefault="00DA0EC5" w:rsidP="008B7210">
      <w:pPr>
        <w:pStyle w:val="Add-Regions"/>
      </w:pPr>
      <w:r w:rsidRPr="00DA0EC5">
        <w:t xml:space="preserve">North Queensland Region </w:t>
      </w:r>
    </w:p>
    <w:p w:rsidR="00DA0EC5" w:rsidRPr="00637922" w:rsidRDefault="00DA0EC5" w:rsidP="00637922">
      <w:pPr>
        <w:pStyle w:val="Addressess"/>
      </w:pPr>
      <w:r w:rsidRPr="00637922">
        <w:t xml:space="preserve">Office of the Regional Director, North Queensland Region </w:t>
      </w:r>
    </w:p>
    <w:p w:rsidR="00DA0EC5" w:rsidRPr="00637922" w:rsidRDefault="00DA0EC5" w:rsidP="00637922">
      <w:pPr>
        <w:pStyle w:val="Addressess"/>
      </w:pPr>
      <w:r w:rsidRPr="00637922">
        <w:t xml:space="preserve">Level 2, Yellow Foyer </w:t>
      </w:r>
    </w:p>
    <w:p w:rsidR="00DA0EC5" w:rsidRPr="00637922" w:rsidRDefault="00DA0EC5" w:rsidP="00637922">
      <w:pPr>
        <w:pStyle w:val="Addressess"/>
      </w:pPr>
      <w:r w:rsidRPr="00637922">
        <w:t xml:space="preserve">143 Walker Street </w:t>
      </w:r>
    </w:p>
    <w:p w:rsidR="00DA0EC5" w:rsidRPr="00637922" w:rsidRDefault="00DA0EC5" w:rsidP="00637922">
      <w:pPr>
        <w:pStyle w:val="Addressess"/>
      </w:pPr>
      <w:r w:rsidRPr="00637922">
        <w:t xml:space="preserve">PO Box 953 </w:t>
      </w:r>
    </w:p>
    <w:p w:rsidR="00DA0EC5" w:rsidRPr="00637922" w:rsidRDefault="00DA0EC5" w:rsidP="00637922">
      <w:pPr>
        <w:pStyle w:val="Addressess"/>
      </w:pPr>
      <w:r w:rsidRPr="00637922">
        <w:t xml:space="preserve">Townsville Qld 4810 </w:t>
      </w:r>
    </w:p>
    <w:p w:rsidR="00DA0EC5" w:rsidRPr="00DA0EC5" w:rsidRDefault="00DA0EC5" w:rsidP="00637922">
      <w:pPr>
        <w:pStyle w:val="Addressess"/>
        <w:rPr>
          <w:rFonts w:ascii="MetaNormalLF-Roman" w:hAnsi="MetaNormalLF-Roman"/>
          <w:sz w:val="16"/>
        </w:rPr>
      </w:pPr>
      <w:r w:rsidRPr="00637922">
        <w:t>Phone: 07 4724 8571</w:t>
      </w:r>
      <w:r w:rsidRPr="00DA0EC5">
        <w:rPr>
          <w:rFonts w:ascii="MetaNormalLF-Roman" w:hAnsi="MetaNormalLF-Roman"/>
          <w:sz w:val="16"/>
        </w:rPr>
        <w:t xml:space="preserve"> </w:t>
      </w:r>
    </w:p>
    <w:p w:rsidR="00DA0EC5" w:rsidRPr="00DA0EC5" w:rsidRDefault="00DA0EC5" w:rsidP="004550B4">
      <w:pPr>
        <w:pStyle w:val="Add-Officename"/>
      </w:pPr>
      <w:r w:rsidRPr="00DA0EC5">
        <w:t xml:space="preserve">Collinsville Queensland Government Agent Program </w:t>
      </w:r>
    </w:p>
    <w:p w:rsidR="00DA0EC5" w:rsidRPr="00DA0EC5" w:rsidRDefault="00DA0EC5" w:rsidP="00637922">
      <w:pPr>
        <w:pStyle w:val="Addressess"/>
      </w:pPr>
      <w:r w:rsidRPr="00DA0EC5">
        <w:t xml:space="preserve">64 Sonoma Street </w:t>
      </w:r>
    </w:p>
    <w:p w:rsidR="00DA0EC5" w:rsidRPr="00DA0EC5" w:rsidRDefault="00DA0EC5" w:rsidP="00637922">
      <w:pPr>
        <w:pStyle w:val="Addressess"/>
      </w:pPr>
      <w:r w:rsidRPr="00DA0EC5">
        <w:t xml:space="preserve">PO Box 58 </w:t>
      </w:r>
    </w:p>
    <w:p w:rsidR="00DA0EC5" w:rsidRPr="00DA0EC5" w:rsidRDefault="00DA0EC5" w:rsidP="00637922">
      <w:pPr>
        <w:pStyle w:val="Addressess"/>
      </w:pPr>
      <w:r w:rsidRPr="00DA0EC5">
        <w:t xml:space="preserve">Collinsville Qld 4804 </w:t>
      </w:r>
    </w:p>
    <w:p w:rsidR="00DA0EC5" w:rsidRPr="00DA0EC5" w:rsidRDefault="00DA0EC5" w:rsidP="00637922">
      <w:pPr>
        <w:pStyle w:val="Addressess"/>
      </w:pPr>
      <w:r w:rsidRPr="00DA0EC5">
        <w:t xml:space="preserve">Phone: 07 4785 5567 </w:t>
      </w:r>
    </w:p>
    <w:p w:rsidR="00DA0EC5" w:rsidRPr="00DA0EC5" w:rsidRDefault="00DA0EC5" w:rsidP="00637922">
      <w:pPr>
        <w:pStyle w:val="Addressess"/>
      </w:pPr>
      <w:r w:rsidRPr="00DA0EC5">
        <w:t xml:space="preserve">9.00am to 12.30pm and 2.00pm to 4.30pm - Monday to Friday </w:t>
      </w:r>
    </w:p>
    <w:p w:rsidR="00DA0EC5" w:rsidRPr="00DA0EC5" w:rsidRDefault="00DA0EC5" w:rsidP="004550B4">
      <w:pPr>
        <w:pStyle w:val="Add-Officename"/>
      </w:pPr>
      <w:r w:rsidRPr="00DA0EC5">
        <w:t xml:space="preserve">Mackay Housing Service Centre </w:t>
      </w:r>
    </w:p>
    <w:p w:rsidR="00DA0EC5" w:rsidRPr="00DA0EC5" w:rsidRDefault="00DA0EC5" w:rsidP="00637922">
      <w:pPr>
        <w:pStyle w:val="Addressess"/>
      </w:pPr>
      <w:r w:rsidRPr="00DA0EC5">
        <w:t xml:space="preserve">22–30 Wood Street </w:t>
      </w:r>
    </w:p>
    <w:p w:rsidR="00DA0EC5" w:rsidRPr="00DA0EC5" w:rsidRDefault="00DA0EC5" w:rsidP="00637922">
      <w:pPr>
        <w:pStyle w:val="Addressess"/>
      </w:pPr>
      <w:r w:rsidRPr="00DA0EC5">
        <w:t xml:space="preserve">PO Box 978 </w:t>
      </w:r>
    </w:p>
    <w:p w:rsidR="00DA0EC5" w:rsidRPr="00DA0EC5" w:rsidRDefault="00DA0EC5" w:rsidP="00637922">
      <w:pPr>
        <w:pStyle w:val="Addressess"/>
      </w:pPr>
      <w:r w:rsidRPr="00DA0EC5">
        <w:t xml:space="preserve">Mackay Qld 4740 </w:t>
      </w:r>
    </w:p>
    <w:p w:rsidR="00DA0EC5" w:rsidRPr="00DA0EC5" w:rsidRDefault="00DA0EC5" w:rsidP="00637922">
      <w:pPr>
        <w:pStyle w:val="Addressess"/>
      </w:pPr>
      <w:r w:rsidRPr="00DA0EC5">
        <w:t xml:space="preserve">Phone: 07 4862 9500 </w:t>
      </w:r>
    </w:p>
    <w:p w:rsidR="00DA0EC5" w:rsidRPr="00DA0EC5" w:rsidRDefault="00DA0EC5" w:rsidP="00637922">
      <w:pPr>
        <w:pStyle w:val="Addressess"/>
      </w:pPr>
      <w:r w:rsidRPr="00DA0EC5">
        <w:t xml:space="preserve">1800 069 237 (within area) </w:t>
      </w:r>
    </w:p>
    <w:p w:rsidR="00DA0EC5" w:rsidRPr="00DA0EC5" w:rsidRDefault="00DA0EC5" w:rsidP="00637922">
      <w:pPr>
        <w:pStyle w:val="Addressess"/>
      </w:pPr>
      <w:r w:rsidRPr="00DA0EC5">
        <w:t xml:space="preserve">Maintenance enquiries: 1300 650 914 </w:t>
      </w:r>
    </w:p>
    <w:p w:rsidR="00DA0EC5" w:rsidRPr="00DA0EC5" w:rsidRDefault="00DA0EC5" w:rsidP="00637922">
      <w:pPr>
        <w:pStyle w:val="Addressess"/>
      </w:pPr>
      <w:r w:rsidRPr="00DA0EC5">
        <w:t xml:space="preserve">Email: mackayhsc@hpw.qld.gov.au </w:t>
      </w:r>
    </w:p>
    <w:p w:rsidR="00DA0EC5" w:rsidRPr="00DA0EC5" w:rsidRDefault="00DA0EC5" w:rsidP="004550B4">
      <w:pPr>
        <w:pStyle w:val="Add-Officename"/>
      </w:pPr>
      <w:r w:rsidRPr="00DA0EC5">
        <w:t xml:space="preserve">Mount Isa Housing Service Centre </w:t>
      </w:r>
    </w:p>
    <w:p w:rsidR="00DA0EC5" w:rsidRPr="00DA0EC5" w:rsidRDefault="00DA0EC5" w:rsidP="00637922">
      <w:pPr>
        <w:pStyle w:val="Addressess"/>
      </w:pPr>
      <w:r w:rsidRPr="00DA0EC5">
        <w:t xml:space="preserve">19 West Street </w:t>
      </w:r>
    </w:p>
    <w:p w:rsidR="00DA0EC5" w:rsidRPr="00DA0EC5" w:rsidRDefault="00DA0EC5" w:rsidP="00637922">
      <w:pPr>
        <w:pStyle w:val="Addressess"/>
      </w:pPr>
      <w:r w:rsidRPr="00DA0EC5">
        <w:t xml:space="preserve">PO Box 1866 </w:t>
      </w:r>
    </w:p>
    <w:p w:rsidR="00DA0EC5" w:rsidRPr="00DA0EC5" w:rsidRDefault="00DA0EC5" w:rsidP="00637922">
      <w:pPr>
        <w:pStyle w:val="Addressess"/>
      </w:pPr>
      <w:r w:rsidRPr="00DA0EC5">
        <w:t xml:space="preserve">Mount Isa Qld 4825 </w:t>
      </w:r>
    </w:p>
    <w:p w:rsidR="00DA0EC5" w:rsidRPr="00DA0EC5" w:rsidRDefault="00DA0EC5" w:rsidP="00637922">
      <w:pPr>
        <w:pStyle w:val="Addressess"/>
      </w:pPr>
      <w:r w:rsidRPr="00DA0EC5">
        <w:t xml:space="preserve">Phone: 07 4437 2700 </w:t>
      </w:r>
    </w:p>
    <w:p w:rsidR="00DA0EC5" w:rsidRPr="00DA0EC5" w:rsidRDefault="00DA0EC5" w:rsidP="00637922">
      <w:pPr>
        <w:pStyle w:val="Addressess"/>
      </w:pPr>
      <w:r w:rsidRPr="00DA0EC5">
        <w:t xml:space="preserve">1800 620 466 (within area) </w:t>
      </w:r>
    </w:p>
    <w:p w:rsidR="00DA0EC5" w:rsidRPr="00DA0EC5" w:rsidRDefault="00DA0EC5" w:rsidP="00637922">
      <w:pPr>
        <w:pStyle w:val="Addressess"/>
      </w:pPr>
      <w:r w:rsidRPr="00DA0EC5">
        <w:t xml:space="preserve">Maintenance enquiries: 1300 650 912 </w:t>
      </w:r>
    </w:p>
    <w:p w:rsidR="00DA0EC5" w:rsidRPr="00DA0EC5" w:rsidRDefault="00DA0EC5" w:rsidP="00637922">
      <w:pPr>
        <w:pStyle w:val="Addressess"/>
      </w:pPr>
      <w:r w:rsidRPr="00DA0EC5">
        <w:t xml:space="preserve">Email: mtisahsc@hpw.qld.gov.au </w:t>
      </w:r>
    </w:p>
    <w:p w:rsidR="00DA0EC5" w:rsidRPr="00637922" w:rsidRDefault="00DA0EC5" w:rsidP="00637922">
      <w:pPr>
        <w:pStyle w:val="Add-Officename"/>
      </w:pPr>
      <w:r w:rsidRPr="00637922">
        <w:rPr>
          <w:rStyle w:val="Add-OfficenameChar"/>
          <w:b/>
          <w:bCs/>
        </w:rPr>
        <w:t>Mount lsa Housing Service Centre</w:t>
      </w:r>
      <w:r w:rsidRPr="00637922">
        <w:t xml:space="preserve"> – Doomadgee </w:t>
      </w:r>
    </w:p>
    <w:p w:rsidR="00DA0EC5" w:rsidRPr="00DA0EC5" w:rsidRDefault="00DA0EC5" w:rsidP="00637922">
      <w:pPr>
        <w:pStyle w:val="Addressess"/>
      </w:pPr>
      <w:r w:rsidRPr="00DA0EC5">
        <w:t xml:space="preserve">275 Sharpe Street Council Admin Building </w:t>
      </w:r>
    </w:p>
    <w:p w:rsidR="00DA0EC5" w:rsidRPr="00DA0EC5" w:rsidRDefault="00DA0EC5" w:rsidP="00637922">
      <w:pPr>
        <w:pStyle w:val="Addressess"/>
      </w:pPr>
      <w:r w:rsidRPr="00DA0EC5">
        <w:t xml:space="preserve">Doomadgee Qld 4830 </w:t>
      </w:r>
    </w:p>
    <w:p w:rsidR="00DA0EC5" w:rsidRPr="00DA0EC5" w:rsidRDefault="00DA0EC5" w:rsidP="00637922">
      <w:pPr>
        <w:pStyle w:val="Addressess"/>
      </w:pPr>
      <w:r w:rsidRPr="00DA0EC5">
        <w:t xml:space="preserve">PO Box 1866 </w:t>
      </w:r>
    </w:p>
    <w:p w:rsidR="00DA0EC5" w:rsidRPr="00DA0EC5" w:rsidRDefault="00DA0EC5" w:rsidP="00637922">
      <w:pPr>
        <w:pStyle w:val="Addressess"/>
      </w:pPr>
      <w:r w:rsidRPr="00DA0EC5">
        <w:t xml:space="preserve">Mount Isa Qld 4825 </w:t>
      </w:r>
    </w:p>
    <w:p w:rsidR="00DA0EC5" w:rsidRPr="00DA0EC5" w:rsidRDefault="00DA0EC5" w:rsidP="00637922">
      <w:pPr>
        <w:pStyle w:val="Addressess"/>
      </w:pPr>
      <w:r w:rsidRPr="00DA0EC5">
        <w:t xml:space="preserve">Phone: 07 4745 8351 if unattended call 07 4437 2700 </w:t>
      </w:r>
    </w:p>
    <w:p w:rsidR="00DA0EC5" w:rsidRPr="00DA0EC5" w:rsidRDefault="00DA0EC5" w:rsidP="00637922">
      <w:pPr>
        <w:pStyle w:val="Addressess"/>
      </w:pPr>
      <w:r w:rsidRPr="00DA0EC5">
        <w:t xml:space="preserve">8.30am to 4.30pm Monday to Friday </w:t>
      </w:r>
    </w:p>
    <w:p w:rsidR="00DA0EC5" w:rsidRPr="00DA0EC5" w:rsidRDefault="00DA0EC5" w:rsidP="00637922">
      <w:pPr>
        <w:pStyle w:val="Addressess"/>
      </w:pPr>
      <w:r w:rsidRPr="00DA0EC5">
        <w:t xml:space="preserve">Email: HHSMtIsaRemoteComm@hpw.qld.gov.au </w:t>
      </w:r>
    </w:p>
    <w:p w:rsidR="00DA0EC5" w:rsidRPr="00DA0EC5" w:rsidRDefault="00DA0EC5" w:rsidP="004550B4">
      <w:pPr>
        <w:pStyle w:val="Add-Officename"/>
      </w:pPr>
      <w:r w:rsidRPr="00DA0EC5">
        <w:t xml:space="preserve">Mount lsa Housing Service Centre – Mornington Island </w:t>
      </w:r>
    </w:p>
    <w:p w:rsidR="00DA0EC5" w:rsidRPr="00DA0EC5" w:rsidRDefault="00DA0EC5" w:rsidP="00637922">
      <w:pPr>
        <w:pStyle w:val="Addressess"/>
      </w:pPr>
      <w:r w:rsidRPr="00DA0EC5">
        <w:t xml:space="preserve">Shop 1 and 2, 306 Lardil Street </w:t>
      </w:r>
    </w:p>
    <w:p w:rsidR="00DA0EC5" w:rsidRPr="00DA0EC5" w:rsidRDefault="00DA0EC5" w:rsidP="00637922">
      <w:pPr>
        <w:pStyle w:val="Addressess"/>
      </w:pPr>
      <w:r w:rsidRPr="00DA0EC5">
        <w:t xml:space="preserve">Rural Transaction Centre Gununa </w:t>
      </w:r>
    </w:p>
    <w:p w:rsidR="00DA0EC5" w:rsidRPr="00DA0EC5" w:rsidRDefault="00DA0EC5" w:rsidP="00637922">
      <w:pPr>
        <w:pStyle w:val="Addressess"/>
      </w:pPr>
      <w:r w:rsidRPr="00DA0EC5">
        <w:t xml:space="preserve">Mornington Island Qld 4871 </w:t>
      </w:r>
    </w:p>
    <w:p w:rsidR="00DA0EC5" w:rsidRPr="00DA0EC5" w:rsidRDefault="00DA0EC5" w:rsidP="00637922">
      <w:pPr>
        <w:pStyle w:val="Addressess"/>
      </w:pPr>
      <w:r w:rsidRPr="00DA0EC5">
        <w:t xml:space="preserve">PO Box 1866 </w:t>
      </w:r>
    </w:p>
    <w:p w:rsidR="00DA0EC5" w:rsidRPr="00DA0EC5" w:rsidRDefault="00DA0EC5" w:rsidP="00637922">
      <w:pPr>
        <w:pStyle w:val="Addressess"/>
      </w:pPr>
      <w:r w:rsidRPr="00DA0EC5">
        <w:t xml:space="preserve">Mount lsa Qld 4825 </w:t>
      </w:r>
    </w:p>
    <w:p w:rsidR="00DA0EC5" w:rsidRPr="00DA0EC5" w:rsidRDefault="00DA0EC5" w:rsidP="00637922">
      <w:pPr>
        <w:pStyle w:val="Addressess"/>
      </w:pPr>
      <w:r w:rsidRPr="00DA0EC5">
        <w:t xml:space="preserve">Phone: 07 4745 7032 or 07 4745 7471 </w:t>
      </w:r>
    </w:p>
    <w:p w:rsidR="00DA0EC5" w:rsidRPr="00DA0EC5" w:rsidRDefault="00DA0EC5" w:rsidP="00637922">
      <w:pPr>
        <w:pStyle w:val="Addressess"/>
      </w:pPr>
      <w:r w:rsidRPr="00DA0EC5">
        <w:t xml:space="preserve">Fax: 07 4745 7483 </w:t>
      </w:r>
    </w:p>
    <w:p w:rsidR="00DA0EC5" w:rsidRPr="00DA0EC5" w:rsidRDefault="00DA0EC5" w:rsidP="00637922">
      <w:pPr>
        <w:pStyle w:val="Addressess"/>
      </w:pPr>
      <w:r w:rsidRPr="00DA0EC5">
        <w:t xml:space="preserve">8.30am to 4.30pm alternate weeks </w:t>
      </w:r>
    </w:p>
    <w:p w:rsidR="00DA0EC5" w:rsidRPr="00DA0EC5" w:rsidRDefault="00DA0EC5" w:rsidP="00637922">
      <w:pPr>
        <w:pStyle w:val="Addressess"/>
      </w:pPr>
      <w:r w:rsidRPr="00DA0EC5">
        <w:t xml:space="preserve">Email: HHSMtIsaRemoteComm@hpw.qld.gov.au </w:t>
      </w:r>
    </w:p>
    <w:p w:rsidR="00DA0EC5" w:rsidRPr="00DA0EC5" w:rsidRDefault="00DA0EC5" w:rsidP="004550B4">
      <w:pPr>
        <w:pStyle w:val="Add-Officename"/>
      </w:pPr>
      <w:r w:rsidRPr="00DA0EC5">
        <w:t xml:space="preserve">Townsville Housing Service Centre – Palm Island Community Office </w:t>
      </w:r>
    </w:p>
    <w:p w:rsidR="00DA0EC5" w:rsidRPr="00DA0EC5" w:rsidRDefault="00DA0EC5" w:rsidP="00637922">
      <w:pPr>
        <w:pStyle w:val="Addressess"/>
      </w:pPr>
      <w:r w:rsidRPr="00DA0EC5">
        <w:t xml:space="preserve">Lot 72 Main Street </w:t>
      </w:r>
    </w:p>
    <w:p w:rsidR="00DA0EC5" w:rsidRPr="00DA0EC5" w:rsidRDefault="00DA0EC5" w:rsidP="00637922">
      <w:pPr>
        <w:pStyle w:val="Addressess"/>
      </w:pPr>
      <w:r w:rsidRPr="00DA0EC5">
        <w:t xml:space="preserve">Palm Island Qld 4816 </w:t>
      </w:r>
    </w:p>
    <w:p w:rsidR="00DA0EC5" w:rsidRPr="00DA0EC5" w:rsidRDefault="00DA0EC5" w:rsidP="00637922">
      <w:pPr>
        <w:pStyle w:val="Addressess"/>
      </w:pPr>
      <w:r w:rsidRPr="00DA0EC5">
        <w:t xml:space="preserve">Phone: 07 4799 5382 </w:t>
      </w:r>
    </w:p>
    <w:p w:rsidR="00DA0EC5" w:rsidRPr="00DA0EC5" w:rsidRDefault="00DA0EC5" w:rsidP="00637922">
      <w:pPr>
        <w:pStyle w:val="Addressess"/>
      </w:pPr>
      <w:r w:rsidRPr="00DA0EC5">
        <w:t xml:space="preserve">8.30am to 4.30pm, Monday to Friday (closed between 12.30pm and 1.15pm ) </w:t>
      </w:r>
    </w:p>
    <w:p w:rsidR="00DA0EC5" w:rsidRPr="00DA0EC5" w:rsidRDefault="00DA0EC5" w:rsidP="00637922">
      <w:pPr>
        <w:pStyle w:val="Addressess"/>
      </w:pPr>
      <w:r w:rsidRPr="00DA0EC5">
        <w:t xml:space="preserve">Email: HHS-Palm-Island@hpw.qld.gov.au </w:t>
      </w:r>
    </w:p>
    <w:p w:rsidR="00DA0EC5" w:rsidRPr="00DA0EC5" w:rsidRDefault="00DA0EC5" w:rsidP="004550B4">
      <w:pPr>
        <w:pStyle w:val="Add-Officename"/>
      </w:pPr>
      <w:r w:rsidRPr="00DA0EC5">
        <w:t xml:space="preserve">Townsville Housing Service Centre </w:t>
      </w:r>
    </w:p>
    <w:p w:rsidR="00DA0EC5" w:rsidRPr="00DA0EC5" w:rsidRDefault="00DA0EC5" w:rsidP="00637922">
      <w:pPr>
        <w:pStyle w:val="Addressess"/>
      </w:pPr>
      <w:r w:rsidRPr="00DA0EC5">
        <w:t xml:space="preserve">Level 2, 143 Walker Street </w:t>
      </w:r>
    </w:p>
    <w:p w:rsidR="00DA0EC5" w:rsidRPr="00DA0EC5" w:rsidRDefault="00DA0EC5" w:rsidP="00637922">
      <w:pPr>
        <w:pStyle w:val="Addressess"/>
      </w:pPr>
      <w:r w:rsidRPr="00DA0EC5">
        <w:t xml:space="preserve">PO Box 953 </w:t>
      </w:r>
    </w:p>
    <w:p w:rsidR="00DA0EC5" w:rsidRPr="00DA0EC5" w:rsidRDefault="00DA0EC5" w:rsidP="00637922">
      <w:pPr>
        <w:pStyle w:val="Addressess"/>
      </w:pPr>
      <w:r w:rsidRPr="00DA0EC5">
        <w:t xml:space="preserve">Townsville Qld 4810 </w:t>
      </w:r>
    </w:p>
    <w:p w:rsidR="00DA0EC5" w:rsidRPr="00DA0EC5" w:rsidRDefault="00DA0EC5" w:rsidP="00637922">
      <w:pPr>
        <w:pStyle w:val="Addressess"/>
      </w:pPr>
      <w:r w:rsidRPr="00DA0EC5">
        <w:t xml:space="preserve">Phone: 07 4724 8500 or </w:t>
      </w:r>
    </w:p>
    <w:p w:rsidR="00DA0EC5" w:rsidRPr="00DA0EC5" w:rsidRDefault="00DA0EC5" w:rsidP="00637922">
      <w:pPr>
        <w:pStyle w:val="Addressess"/>
      </w:pPr>
      <w:r w:rsidRPr="00DA0EC5">
        <w:t xml:space="preserve">Toll free: 1800 806 197 (within area) </w:t>
      </w:r>
    </w:p>
    <w:p w:rsidR="00DA0EC5" w:rsidRDefault="00DA0EC5" w:rsidP="00637922">
      <w:pPr>
        <w:pStyle w:val="Addressess"/>
      </w:pPr>
      <w:r w:rsidRPr="00DA0EC5">
        <w:t xml:space="preserve">Email: </w:t>
      </w:r>
      <w:hyperlink r:id="rId28" w:history="1">
        <w:r w:rsidRPr="00A91CE8">
          <w:rPr>
            <w:rStyle w:val="Hyperlink"/>
            <w:rFonts w:ascii="MetaNormalLF-Roman" w:hAnsi="MetaNormalLF-Roman"/>
            <w:sz w:val="16"/>
          </w:rPr>
          <w:t>townsvillehsc@hpw.qld.gov.au</w:t>
        </w:r>
      </w:hyperlink>
    </w:p>
    <w:p w:rsidR="00DA0EC5" w:rsidRPr="00DA0EC5" w:rsidRDefault="00DA0EC5" w:rsidP="00637922">
      <w:pPr>
        <w:pStyle w:val="Add-Regions"/>
      </w:pPr>
      <w:r w:rsidRPr="00DA0EC5">
        <w:t xml:space="preserve">Central Queensland/North Coast Region </w:t>
      </w:r>
    </w:p>
    <w:p w:rsidR="00DA0EC5" w:rsidRPr="00DA0EC5" w:rsidRDefault="00DA0EC5" w:rsidP="00637922">
      <w:pPr>
        <w:pStyle w:val="Add-type"/>
      </w:pPr>
      <w:r w:rsidRPr="00DA0EC5">
        <w:t xml:space="preserve">Office of the Regional Director, Central Queensland/North Coast Region </w:t>
      </w:r>
    </w:p>
    <w:p w:rsidR="00DA0EC5" w:rsidRPr="00DA0EC5" w:rsidRDefault="00DA0EC5" w:rsidP="000D5510">
      <w:pPr>
        <w:pStyle w:val="Addressess"/>
      </w:pPr>
      <w:r w:rsidRPr="00DA0EC5">
        <w:t xml:space="preserve">Level 3, 209 Bolsover Street </w:t>
      </w:r>
    </w:p>
    <w:p w:rsidR="00DA0EC5" w:rsidRPr="00DA0EC5" w:rsidRDefault="00DA0EC5" w:rsidP="000D5510">
      <w:pPr>
        <w:pStyle w:val="Addressess"/>
      </w:pPr>
      <w:r w:rsidRPr="00DA0EC5">
        <w:t xml:space="preserve">PO Box 1503 </w:t>
      </w:r>
    </w:p>
    <w:p w:rsidR="00DA0EC5" w:rsidRPr="00DA0EC5" w:rsidRDefault="00DA0EC5" w:rsidP="000D5510">
      <w:pPr>
        <w:pStyle w:val="Addressess"/>
      </w:pPr>
      <w:r w:rsidRPr="00DA0EC5">
        <w:t xml:space="preserve">Rockhampton Qld 4700 </w:t>
      </w:r>
    </w:p>
    <w:p w:rsidR="00DA0EC5" w:rsidRPr="00DA0EC5" w:rsidRDefault="00DA0EC5" w:rsidP="000D5510">
      <w:pPr>
        <w:pStyle w:val="Addressess"/>
      </w:pPr>
      <w:r w:rsidRPr="00DA0EC5">
        <w:t xml:space="preserve">Phone: 07 4848 7054 </w:t>
      </w:r>
    </w:p>
    <w:p w:rsidR="00DA0EC5" w:rsidRPr="00DA0EC5" w:rsidRDefault="00DA0EC5" w:rsidP="000D5510">
      <w:pPr>
        <w:pStyle w:val="Addressess"/>
      </w:pPr>
      <w:r w:rsidRPr="00DA0EC5">
        <w:t xml:space="preserve">Email: HHS-SD-CQNCR-ORD@hpw.qld.gov.au </w:t>
      </w:r>
    </w:p>
    <w:p w:rsidR="00DA0EC5" w:rsidRPr="00DA0EC5" w:rsidRDefault="00DA0EC5" w:rsidP="000D5510">
      <w:pPr>
        <w:pStyle w:val="Add-Officename"/>
      </w:pPr>
      <w:r w:rsidRPr="00DA0EC5">
        <w:t xml:space="preserve">Bundaberg Housing Service Centre </w:t>
      </w:r>
    </w:p>
    <w:p w:rsidR="00DA0EC5" w:rsidRPr="00DA0EC5" w:rsidRDefault="00DA0EC5" w:rsidP="000D5510">
      <w:pPr>
        <w:pStyle w:val="Addressess"/>
      </w:pPr>
      <w:r w:rsidRPr="00DA0EC5">
        <w:t xml:space="preserve">16 Quay Street </w:t>
      </w:r>
    </w:p>
    <w:p w:rsidR="00DA0EC5" w:rsidRPr="00DA0EC5" w:rsidRDefault="00DA0EC5" w:rsidP="000D5510">
      <w:pPr>
        <w:pStyle w:val="Addressess"/>
      </w:pPr>
      <w:r w:rsidRPr="00DA0EC5">
        <w:t xml:space="preserve">PO Box 1120 </w:t>
      </w:r>
    </w:p>
    <w:p w:rsidR="00DA0EC5" w:rsidRPr="00DA0EC5" w:rsidRDefault="00DA0EC5" w:rsidP="000D5510">
      <w:pPr>
        <w:pStyle w:val="Addressess"/>
      </w:pPr>
      <w:r w:rsidRPr="00DA0EC5">
        <w:t xml:space="preserve">Bundaberg Qld 4670 </w:t>
      </w:r>
    </w:p>
    <w:p w:rsidR="00DA0EC5" w:rsidRPr="00DA0EC5" w:rsidRDefault="00DA0EC5" w:rsidP="000D5510">
      <w:pPr>
        <w:pStyle w:val="Addressess"/>
      </w:pPr>
      <w:r w:rsidRPr="00DA0EC5">
        <w:t xml:space="preserve">Phone: 07 4331 7900 </w:t>
      </w:r>
    </w:p>
    <w:p w:rsidR="00DA0EC5" w:rsidRPr="00DA0EC5" w:rsidRDefault="00DA0EC5" w:rsidP="000D5510">
      <w:pPr>
        <w:pStyle w:val="Addressess"/>
      </w:pPr>
      <w:r w:rsidRPr="00DA0EC5">
        <w:t xml:space="preserve">1800 809 835 (within area) </w:t>
      </w:r>
    </w:p>
    <w:p w:rsidR="00DA0EC5" w:rsidRPr="00DA0EC5" w:rsidRDefault="00DA0EC5" w:rsidP="000D5510">
      <w:pPr>
        <w:pStyle w:val="Addressess"/>
      </w:pPr>
      <w:r w:rsidRPr="00DA0EC5">
        <w:t xml:space="preserve">Maintenance enquiries: 1300 137 687 </w:t>
      </w:r>
    </w:p>
    <w:p w:rsidR="00DA0EC5" w:rsidRPr="00DA0EC5" w:rsidRDefault="00DA0EC5" w:rsidP="000D5510">
      <w:pPr>
        <w:pStyle w:val="Addressess"/>
      </w:pPr>
      <w:r w:rsidRPr="00DA0EC5">
        <w:t xml:space="preserve">Email:bundaberghsc@hpw.qld.gov.au </w:t>
      </w:r>
    </w:p>
    <w:p w:rsidR="00DA0EC5" w:rsidRPr="00DA0EC5" w:rsidRDefault="00DA0EC5" w:rsidP="004C7A0F">
      <w:pPr>
        <w:pStyle w:val="Add-Officename"/>
      </w:pPr>
      <w:r w:rsidRPr="00DA0EC5">
        <w:t xml:space="preserve">Emerald Housing Service Centre </w:t>
      </w:r>
    </w:p>
    <w:p w:rsidR="00DA0EC5" w:rsidRPr="00DA0EC5" w:rsidRDefault="00DA0EC5" w:rsidP="004C7A0F">
      <w:pPr>
        <w:pStyle w:val="Addressess"/>
      </w:pPr>
      <w:r w:rsidRPr="00DA0EC5">
        <w:t xml:space="preserve">99 Hospital Road </w:t>
      </w:r>
    </w:p>
    <w:p w:rsidR="00DA0EC5" w:rsidRPr="00DA0EC5" w:rsidRDefault="00DA0EC5" w:rsidP="004C7A0F">
      <w:pPr>
        <w:pStyle w:val="Addressess"/>
      </w:pPr>
      <w:r w:rsidRPr="00DA0EC5">
        <w:t xml:space="preserve">PO Box 37 </w:t>
      </w:r>
    </w:p>
    <w:p w:rsidR="00DA0EC5" w:rsidRPr="00DA0EC5" w:rsidRDefault="00DA0EC5" w:rsidP="004C7A0F">
      <w:pPr>
        <w:pStyle w:val="Addressess"/>
      </w:pPr>
      <w:r w:rsidRPr="00DA0EC5">
        <w:t xml:space="preserve">Emerald Qld 4720 </w:t>
      </w:r>
    </w:p>
    <w:p w:rsidR="00DA0EC5" w:rsidRPr="00DA0EC5" w:rsidRDefault="00DA0EC5" w:rsidP="004C7A0F">
      <w:pPr>
        <w:pStyle w:val="Addressess"/>
      </w:pPr>
      <w:r w:rsidRPr="00DA0EC5">
        <w:t xml:space="preserve">Phone: 07 4988 1600 </w:t>
      </w:r>
    </w:p>
    <w:p w:rsidR="00DA0EC5" w:rsidRPr="00DA0EC5" w:rsidRDefault="00DA0EC5" w:rsidP="004C7A0F">
      <w:pPr>
        <w:pStyle w:val="Addressess"/>
      </w:pPr>
      <w:r w:rsidRPr="00DA0EC5">
        <w:t xml:space="preserve">Maintenance enquiries: 1800 823 090 </w:t>
      </w:r>
    </w:p>
    <w:p w:rsidR="00DA0EC5" w:rsidRPr="00DA0EC5" w:rsidRDefault="00DA0EC5" w:rsidP="004C7A0F">
      <w:pPr>
        <w:pStyle w:val="Addressess"/>
      </w:pPr>
      <w:r w:rsidRPr="00DA0EC5">
        <w:t xml:space="preserve">Email: emeraldhsc@hpw.qld.gov.au </w:t>
      </w:r>
    </w:p>
    <w:p w:rsidR="00DA0EC5" w:rsidRPr="00DA0EC5" w:rsidRDefault="00DA0EC5" w:rsidP="00EE25C2">
      <w:pPr>
        <w:pStyle w:val="Add-Officename"/>
      </w:pPr>
      <w:r w:rsidRPr="00DA0EC5">
        <w:t xml:space="preserve">Gladstone Housing Service Centre </w:t>
      </w:r>
    </w:p>
    <w:p w:rsidR="00DA0EC5" w:rsidRPr="00DA0EC5" w:rsidRDefault="00DA0EC5" w:rsidP="00EE25C2">
      <w:pPr>
        <w:pStyle w:val="Addressess"/>
      </w:pPr>
      <w:r w:rsidRPr="00DA0EC5">
        <w:t xml:space="preserve">Level 2, 20–22 Herbert Street </w:t>
      </w:r>
    </w:p>
    <w:p w:rsidR="00DA0EC5" w:rsidRPr="00DA0EC5" w:rsidRDefault="00DA0EC5" w:rsidP="00EE25C2">
      <w:pPr>
        <w:pStyle w:val="Addressess"/>
      </w:pPr>
      <w:r w:rsidRPr="00DA0EC5">
        <w:t xml:space="preserve">PO Box 5082 </w:t>
      </w:r>
    </w:p>
    <w:p w:rsidR="00DA0EC5" w:rsidRPr="00DA0EC5" w:rsidRDefault="00DA0EC5" w:rsidP="00EE25C2">
      <w:pPr>
        <w:pStyle w:val="Addressess"/>
      </w:pPr>
      <w:r w:rsidRPr="00DA0EC5">
        <w:t xml:space="preserve">Gladstone Qld 4680 </w:t>
      </w:r>
    </w:p>
    <w:p w:rsidR="00DA0EC5" w:rsidRPr="00DA0EC5" w:rsidRDefault="00DA0EC5" w:rsidP="00EE25C2">
      <w:pPr>
        <w:pStyle w:val="Addressess"/>
      </w:pPr>
      <w:r w:rsidRPr="00DA0EC5">
        <w:t xml:space="preserve">Phone: 07 4899 2400 </w:t>
      </w:r>
    </w:p>
    <w:p w:rsidR="00DA0EC5" w:rsidRPr="00DA0EC5" w:rsidRDefault="00DA0EC5" w:rsidP="00EE25C2">
      <w:pPr>
        <w:pStyle w:val="Addressess"/>
      </w:pPr>
      <w:r w:rsidRPr="00DA0EC5">
        <w:t xml:space="preserve">Maintenance enquiries: 07 4977 7104 </w:t>
      </w:r>
    </w:p>
    <w:p w:rsidR="00DA0EC5" w:rsidRPr="00DA0EC5" w:rsidRDefault="00DA0EC5" w:rsidP="00EE25C2">
      <w:pPr>
        <w:pStyle w:val="Addressess"/>
      </w:pPr>
      <w:r w:rsidRPr="00DA0EC5">
        <w:t xml:space="preserve">8am to 5pm Monday to Friday </w:t>
      </w:r>
    </w:p>
    <w:p w:rsidR="00DA0EC5" w:rsidRPr="00DA0EC5" w:rsidRDefault="00DA0EC5" w:rsidP="00EE25C2">
      <w:pPr>
        <w:pStyle w:val="Addressess"/>
      </w:pPr>
      <w:r w:rsidRPr="00DA0EC5">
        <w:t xml:space="preserve">Email: gladstonehsc@hpw.qld.gov.au </w:t>
      </w:r>
    </w:p>
    <w:p w:rsidR="00DA0EC5" w:rsidRPr="00DA0EC5" w:rsidRDefault="00DA0EC5" w:rsidP="00EE25C2">
      <w:pPr>
        <w:pStyle w:val="Add-Officename"/>
      </w:pPr>
      <w:r w:rsidRPr="00DA0EC5">
        <w:t xml:space="preserve">Maroochydore Housing Service Centre </w:t>
      </w:r>
    </w:p>
    <w:p w:rsidR="00DA0EC5" w:rsidRPr="00DA0EC5" w:rsidRDefault="00DA0EC5" w:rsidP="00EE25C2">
      <w:pPr>
        <w:pStyle w:val="Addressess"/>
      </w:pPr>
      <w:r w:rsidRPr="00DA0EC5">
        <w:t xml:space="preserve">Queensland Government Service Centre </w:t>
      </w:r>
    </w:p>
    <w:p w:rsidR="00DA0EC5" w:rsidRPr="00DA0EC5" w:rsidRDefault="00DA0EC5" w:rsidP="00EE25C2">
      <w:pPr>
        <w:pStyle w:val="Addressess"/>
      </w:pPr>
      <w:r w:rsidRPr="00DA0EC5">
        <w:t xml:space="preserve">Ground Floor </w:t>
      </w:r>
    </w:p>
    <w:p w:rsidR="00DA0EC5" w:rsidRPr="00DA0EC5" w:rsidRDefault="00DA0EC5" w:rsidP="00EE25C2">
      <w:pPr>
        <w:pStyle w:val="Addressess"/>
      </w:pPr>
      <w:r w:rsidRPr="00DA0EC5">
        <w:t xml:space="preserve">12 First Avenue </w:t>
      </w:r>
    </w:p>
    <w:p w:rsidR="00DA0EC5" w:rsidRPr="00DA0EC5" w:rsidRDefault="00DA0EC5" w:rsidP="00EE25C2">
      <w:pPr>
        <w:pStyle w:val="Addressess"/>
      </w:pPr>
      <w:r w:rsidRPr="00DA0EC5">
        <w:t xml:space="preserve">PO Box 99 </w:t>
      </w:r>
    </w:p>
    <w:p w:rsidR="00DA0EC5" w:rsidRPr="00DA0EC5" w:rsidRDefault="00DA0EC5" w:rsidP="00EE25C2">
      <w:pPr>
        <w:pStyle w:val="Addressess"/>
      </w:pPr>
      <w:r w:rsidRPr="00DA0EC5">
        <w:t xml:space="preserve">Maroochydore Qld 4558 </w:t>
      </w:r>
    </w:p>
    <w:p w:rsidR="00DA0EC5" w:rsidRPr="00DA0EC5" w:rsidRDefault="00DA0EC5" w:rsidP="00EE25C2">
      <w:pPr>
        <w:pStyle w:val="Addressess"/>
      </w:pPr>
      <w:r w:rsidRPr="00DA0EC5">
        <w:t xml:space="preserve">Phone: 07 5352 7333 </w:t>
      </w:r>
    </w:p>
    <w:p w:rsidR="00DA0EC5" w:rsidRPr="00DA0EC5" w:rsidRDefault="00DA0EC5" w:rsidP="00EE25C2">
      <w:pPr>
        <w:pStyle w:val="Addressess"/>
      </w:pPr>
      <w:r w:rsidRPr="00DA0EC5">
        <w:t xml:space="preserve">Maintenance enquiries: (separate areas use the below maintenance number) </w:t>
      </w:r>
    </w:p>
    <w:p w:rsidR="00DA0EC5" w:rsidRPr="00DA0EC5" w:rsidRDefault="00DA0EC5" w:rsidP="00EE25C2">
      <w:pPr>
        <w:pStyle w:val="Addressess"/>
      </w:pPr>
      <w:r w:rsidRPr="00DA0EC5">
        <w:t xml:space="preserve">Coolum Beach and South: 1300 650 916 </w:t>
      </w:r>
    </w:p>
    <w:p w:rsidR="00DA0EC5" w:rsidRPr="00DA0EC5" w:rsidRDefault="00DA0EC5" w:rsidP="00EE25C2">
      <w:pPr>
        <w:pStyle w:val="Addressess"/>
      </w:pPr>
      <w:r w:rsidRPr="00DA0EC5">
        <w:t xml:space="preserve">Peregian Beach and North: 1300 137 687 </w:t>
      </w:r>
    </w:p>
    <w:p w:rsidR="00DA0EC5" w:rsidRPr="00DA0EC5" w:rsidRDefault="00DA0EC5" w:rsidP="00EE25C2">
      <w:pPr>
        <w:pStyle w:val="Addressess"/>
      </w:pPr>
      <w:r w:rsidRPr="00DA0EC5">
        <w:t xml:space="preserve">Email: maroochydorehsc@hpw.qld.gov.au </w:t>
      </w:r>
    </w:p>
    <w:p w:rsidR="00DA0EC5" w:rsidRPr="00DA0EC5" w:rsidRDefault="00DA0EC5" w:rsidP="00F670CC">
      <w:pPr>
        <w:pStyle w:val="Add-Officename"/>
      </w:pPr>
      <w:r w:rsidRPr="00DA0EC5">
        <w:lastRenderedPageBreak/>
        <w:t xml:space="preserve">Maryborough Housing Service Centre </w:t>
      </w:r>
    </w:p>
    <w:p w:rsidR="00DA0EC5" w:rsidRPr="00DA0EC5" w:rsidRDefault="00DA0EC5" w:rsidP="00F670CC">
      <w:pPr>
        <w:pStyle w:val="Addressess"/>
      </w:pPr>
      <w:r w:rsidRPr="00DA0EC5">
        <w:t xml:space="preserve">116 Lennox Street </w:t>
      </w:r>
    </w:p>
    <w:p w:rsidR="00DA0EC5" w:rsidRPr="00DA0EC5" w:rsidRDefault="00DA0EC5" w:rsidP="00F670CC">
      <w:pPr>
        <w:pStyle w:val="Addressess"/>
      </w:pPr>
      <w:r w:rsidRPr="00DA0EC5">
        <w:t xml:space="preserve">PO Box 535 </w:t>
      </w:r>
    </w:p>
    <w:p w:rsidR="00DA0EC5" w:rsidRPr="00DA0EC5" w:rsidRDefault="00DA0EC5" w:rsidP="00F670CC">
      <w:pPr>
        <w:pStyle w:val="Addressess"/>
      </w:pPr>
      <w:r w:rsidRPr="00DA0EC5">
        <w:t xml:space="preserve">Maryborough Qld 4650 </w:t>
      </w:r>
    </w:p>
    <w:p w:rsidR="00DA0EC5" w:rsidRPr="00DA0EC5" w:rsidRDefault="00DA0EC5" w:rsidP="00F670CC">
      <w:pPr>
        <w:pStyle w:val="Addressess"/>
      </w:pPr>
      <w:r w:rsidRPr="00DA0EC5">
        <w:t xml:space="preserve">Phone: 07 4324 8600 </w:t>
      </w:r>
    </w:p>
    <w:p w:rsidR="00DA0EC5" w:rsidRPr="00DA0EC5" w:rsidRDefault="00DA0EC5" w:rsidP="00F670CC">
      <w:pPr>
        <w:pStyle w:val="Addressess"/>
      </w:pPr>
      <w:r w:rsidRPr="00DA0EC5">
        <w:t xml:space="preserve">1800 623 242 (within area) </w:t>
      </w:r>
    </w:p>
    <w:p w:rsidR="00DA0EC5" w:rsidRPr="00DA0EC5" w:rsidRDefault="00DA0EC5" w:rsidP="00F670CC">
      <w:pPr>
        <w:pStyle w:val="Addressess"/>
      </w:pPr>
      <w:r w:rsidRPr="00DA0EC5">
        <w:t xml:space="preserve">Maintenance enquiries: 1300 137 687 </w:t>
      </w:r>
    </w:p>
    <w:p w:rsidR="00DA0EC5" w:rsidRPr="00DA0EC5" w:rsidRDefault="00DA0EC5" w:rsidP="00F670CC">
      <w:pPr>
        <w:pStyle w:val="Addressess"/>
      </w:pPr>
      <w:r w:rsidRPr="00DA0EC5">
        <w:t xml:space="preserve">Email: maryboroughhsc@hpw.qld.gov.au </w:t>
      </w:r>
    </w:p>
    <w:p w:rsidR="00DA0EC5" w:rsidRPr="00DA0EC5" w:rsidRDefault="00DA0EC5" w:rsidP="00F670CC">
      <w:pPr>
        <w:pStyle w:val="Add-Officename"/>
      </w:pPr>
      <w:r w:rsidRPr="00DA0EC5">
        <w:t xml:space="preserve">Moreton Bay Housing Service Centre </w:t>
      </w:r>
    </w:p>
    <w:p w:rsidR="00DA0EC5" w:rsidRPr="00DA0EC5" w:rsidRDefault="00DA0EC5" w:rsidP="00F670CC">
      <w:pPr>
        <w:pStyle w:val="Addressess"/>
      </w:pPr>
      <w:r w:rsidRPr="00DA0EC5">
        <w:t xml:space="preserve">Level 5, Caboolture Square Shopping Centre </w:t>
      </w:r>
    </w:p>
    <w:p w:rsidR="00DA0EC5" w:rsidRPr="00DA0EC5" w:rsidRDefault="00DA0EC5" w:rsidP="00F670CC">
      <w:pPr>
        <w:pStyle w:val="Addressess"/>
      </w:pPr>
      <w:r w:rsidRPr="00DA0EC5">
        <w:t xml:space="preserve">60–78 King Street </w:t>
      </w:r>
    </w:p>
    <w:p w:rsidR="00DA0EC5" w:rsidRPr="00DA0EC5" w:rsidRDefault="00DA0EC5" w:rsidP="00F670CC">
      <w:pPr>
        <w:pStyle w:val="Addressess"/>
      </w:pPr>
      <w:r w:rsidRPr="00DA0EC5">
        <w:t xml:space="preserve">PO Box 588 </w:t>
      </w:r>
    </w:p>
    <w:p w:rsidR="00DA0EC5" w:rsidRPr="00DA0EC5" w:rsidRDefault="00DA0EC5" w:rsidP="00F670CC">
      <w:pPr>
        <w:pStyle w:val="Addressess"/>
      </w:pPr>
      <w:r w:rsidRPr="00DA0EC5">
        <w:t xml:space="preserve">Caboolture Qld 4510 </w:t>
      </w:r>
    </w:p>
    <w:p w:rsidR="00DA0EC5" w:rsidRPr="00DA0EC5" w:rsidRDefault="00DA0EC5" w:rsidP="00F670CC">
      <w:pPr>
        <w:pStyle w:val="Addressess"/>
      </w:pPr>
      <w:r w:rsidRPr="00DA0EC5">
        <w:t xml:space="preserve">Phone: 07 5432 0700 </w:t>
      </w:r>
    </w:p>
    <w:p w:rsidR="00DA0EC5" w:rsidRPr="00DA0EC5" w:rsidRDefault="00DA0EC5" w:rsidP="00F670CC">
      <w:pPr>
        <w:pStyle w:val="Addressess"/>
      </w:pPr>
      <w:r w:rsidRPr="00DA0EC5">
        <w:t xml:space="preserve">Email: moretonbayhsc@hpw.qld.gov.au </w:t>
      </w:r>
    </w:p>
    <w:p w:rsidR="00DA0EC5" w:rsidRPr="00DA0EC5" w:rsidRDefault="00DA0EC5" w:rsidP="00F670CC">
      <w:pPr>
        <w:pStyle w:val="Add-Officename"/>
      </w:pPr>
      <w:r w:rsidRPr="00DA0EC5">
        <w:t xml:space="preserve">Rockhampton Housing Service Centre </w:t>
      </w:r>
    </w:p>
    <w:p w:rsidR="00DA0EC5" w:rsidRPr="00DA0EC5" w:rsidRDefault="00DA0EC5" w:rsidP="00F670CC">
      <w:pPr>
        <w:pStyle w:val="Addressess"/>
      </w:pPr>
      <w:r w:rsidRPr="00DA0EC5">
        <w:t xml:space="preserve">Level 3, 209 Bolsover Street </w:t>
      </w:r>
    </w:p>
    <w:p w:rsidR="00DA0EC5" w:rsidRPr="00DA0EC5" w:rsidRDefault="00DA0EC5" w:rsidP="00F670CC">
      <w:pPr>
        <w:pStyle w:val="Addressess"/>
      </w:pPr>
      <w:r w:rsidRPr="00DA0EC5">
        <w:t xml:space="preserve">PO Box 1330 </w:t>
      </w:r>
    </w:p>
    <w:p w:rsidR="00DA0EC5" w:rsidRPr="00DA0EC5" w:rsidRDefault="00DA0EC5" w:rsidP="00F670CC">
      <w:pPr>
        <w:pStyle w:val="Addressess"/>
      </w:pPr>
      <w:r w:rsidRPr="00DA0EC5">
        <w:t xml:space="preserve">Rockhampton Qld 4700 </w:t>
      </w:r>
    </w:p>
    <w:p w:rsidR="00DA0EC5" w:rsidRPr="00DA0EC5" w:rsidRDefault="00DA0EC5" w:rsidP="00F670CC">
      <w:pPr>
        <w:pStyle w:val="Addressess"/>
      </w:pPr>
      <w:r w:rsidRPr="00DA0EC5">
        <w:t xml:space="preserve">Phone: 07 4848 7000 </w:t>
      </w:r>
    </w:p>
    <w:p w:rsidR="00DA0EC5" w:rsidRPr="00DA0EC5" w:rsidRDefault="00DA0EC5" w:rsidP="00F670CC">
      <w:pPr>
        <w:pStyle w:val="Addressess"/>
      </w:pPr>
      <w:r w:rsidRPr="00DA0EC5">
        <w:t xml:space="preserve">1800 801 176 (within area) </w:t>
      </w:r>
    </w:p>
    <w:p w:rsidR="00DA0EC5" w:rsidRPr="00DA0EC5" w:rsidRDefault="00DA0EC5" w:rsidP="00F670CC">
      <w:pPr>
        <w:pStyle w:val="Addressess"/>
      </w:pPr>
      <w:r w:rsidRPr="00DA0EC5">
        <w:t xml:space="preserve">Maintenance enquiries: 1800 817 029 </w:t>
      </w:r>
    </w:p>
    <w:p w:rsidR="00DA0EC5" w:rsidRPr="00DA0EC5" w:rsidRDefault="00DA0EC5" w:rsidP="00F670CC">
      <w:pPr>
        <w:pStyle w:val="Addressess"/>
      </w:pPr>
      <w:r w:rsidRPr="00DA0EC5">
        <w:t xml:space="preserve">Email: rockhamptonhsc@hpw.qld.gov.au </w:t>
      </w:r>
    </w:p>
    <w:p w:rsidR="00DA0EC5" w:rsidRPr="00DA0EC5" w:rsidRDefault="00DA0EC5" w:rsidP="00F670CC">
      <w:pPr>
        <w:pStyle w:val="Add-Officename"/>
      </w:pPr>
      <w:r w:rsidRPr="00DA0EC5">
        <w:t xml:space="preserve">Woorabinda </w:t>
      </w:r>
    </w:p>
    <w:p w:rsidR="00DA0EC5" w:rsidRPr="00DA0EC5" w:rsidRDefault="00DA0EC5" w:rsidP="00F670CC">
      <w:pPr>
        <w:pStyle w:val="Addressess"/>
      </w:pPr>
      <w:r w:rsidRPr="00DA0EC5">
        <w:t xml:space="preserve">201 Carbine Street </w:t>
      </w:r>
    </w:p>
    <w:p w:rsidR="00DA0EC5" w:rsidRPr="00DA0EC5" w:rsidRDefault="00DA0EC5" w:rsidP="00F670CC">
      <w:pPr>
        <w:pStyle w:val="Addressess"/>
      </w:pPr>
      <w:r w:rsidRPr="00DA0EC5">
        <w:t xml:space="preserve">Woorabinda Qld 4713 </w:t>
      </w:r>
    </w:p>
    <w:p w:rsidR="00DA0EC5" w:rsidRPr="00DA0EC5" w:rsidRDefault="00DA0EC5" w:rsidP="00F670CC">
      <w:pPr>
        <w:pStyle w:val="Addressess"/>
      </w:pPr>
      <w:r w:rsidRPr="00DA0EC5">
        <w:t xml:space="preserve">Phone: 07 4925 9019 </w:t>
      </w:r>
    </w:p>
    <w:p w:rsidR="00DA0EC5" w:rsidRPr="00DA0EC5" w:rsidRDefault="00DA0EC5" w:rsidP="00F670CC">
      <w:pPr>
        <w:pStyle w:val="Addressess"/>
      </w:pPr>
      <w:r w:rsidRPr="00DA0EC5">
        <w:t xml:space="preserve">Fax: 07 4925 9001 </w:t>
      </w:r>
    </w:p>
    <w:p w:rsidR="00DA0EC5" w:rsidRPr="00DA0EC5" w:rsidRDefault="00DA0EC5" w:rsidP="00F670CC">
      <w:pPr>
        <w:pStyle w:val="Addressess"/>
      </w:pPr>
      <w:r w:rsidRPr="00DA0EC5">
        <w:t xml:space="preserve">Email: HHSWoorabindaIndigenousCommunity@hpw.qld.gov.au </w:t>
      </w:r>
    </w:p>
    <w:p w:rsidR="00DA0EC5" w:rsidRPr="00DA0EC5" w:rsidRDefault="00DA0EC5" w:rsidP="00F670CC">
      <w:pPr>
        <w:pStyle w:val="Add-Regions"/>
      </w:pPr>
      <w:r w:rsidRPr="00DA0EC5">
        <w:t xml:space="preserve">Brisbane Region </w:t>
      </w:r>
    </w:p>
    <w:p w:rsidR="00DA0EC5" w:rsidRPr="00DA0EC5" w:rsidRDefault="00DA0EC5" w:rsidP="00F670CC">
      <w:pPr>
        <w:pStyle w:val="Add-type"/>
      </w:pPr>
      <w:r w:rsidRPr="00DA0EC5">
        <w:t xml:space="preserve">Office of the Regional Director, Brisbane Region </w:t>
      </w:r>
    </w:p>
    <w:p w:rsidR="00DA0EC5" w:rsidRPr="00DA0EC5" w:rsidRDefault="00DA0EC5" w:rsidP="00F670CC">
      <w:pPr>
        <w:pStyle w:val="Addressess"/>
      </w:pPr>
      <w:r w:rsidRPr="00DA0EC5">
        <w:t xml:space="preserve">Level 1, 831 Gympie Road, Chermside </w:t>
      </w:r>
    </w:p>
    <w:p w:rsidR="00DA0EC5" w:rsidRPr="00DA0EC5" w:rsidRDefault="00DA0EC5" w:rsidP="00F670CC">
      <w:pPr>
        <w:pStyle w:val="Addressess"/>
      </w:pPr>
      <w:r w:rsidRPr="00DA0EC5">
        <w:t xml:space="preserve">PO Box 2361 </w:t>
      </w:r>
    </w:p>
    <w:p w:rsidR="00DA0EC5" w:rsidRPr="00DA0EC5" w:rsidRDefault="00DA0EC5" w:rsidP="00F670CC">
      <w:pPr>
        <w:pStyle w:val="Addressess"/>
      </w:pPr>
      <w:r w:rsidRPr="00DA0EC5">
        <w:t xml:space="preserve">Chermside Centre </w:t>
      </w:r>
    </w:p>
    <w:p w:rsidR="00DA0EC5" w:rsidRPr="00DA0EC5" w:rsidRDefault="00DA0EC5" w:rsidP="00F670CC">
      <w:pPr>
        <w:pStyle w:val="Addressess"/>
      </w:pPr>
      <w:r w:rsidRPr="00DA0EC5">
        <w:t xml:space="preserve">Chermside Qld 4032 </w:t>
      </w:r>
    </w:p>
    <w:p w:rsidR="00DA0EC5" w:rsidRPr="00DA0EC5" w:rsidRDefault="00DA0EC5" w:rsidP="00F670CC">
      <w:pPr>
        <w:pStyle w:val="Addressess"/>
      </w:pPr>
      <w:r w:rsidRPr="00DA0EC5">
        <w:t xml:space="preserve">Phone: 07 3007 4386 </w:t>
      </w:r>
    </w:p>
    <w:p w:rsidR="00DA0EC5" w:rsidRPr="00DA0EC5" w:rsidRDefault="00DA0EC5" w:rsidP="00F670CC">
      <w:pPr>
        <w:pStyle w:val="Add-Officename"/>
      </w:pPr>
      <w:r w:rsidRPr="00DA0EC5">
        <w:t xml:space="preserve">Buranda Housing Service Centre </w:t>
      </w:r>
    </w:p>
    <w:p w:rsidR="00DA0EC5" w:rsidRPr="00DA0EC5" w:rsidRDefault="00DA0EC5" w:rsidP="00F670CC">
      <w:pPr>
        <w:pStyle w:val="Addressess"/>
      </w:pPr>
      <w:r w:rsidRPr="00DA0EC5">
        <w:t xml:space="preserve">Level 1, 221 Logan Road, Woolloongabba </w:t>
      </w:r>
    </w:p>
    <w:p w:rsidR="00DA0EC5" w:rsidRPr="00DA0EC5" w:rsidRDefault="00DA0EC5" w:rsidP="00F670CC">
      <w:pPr>
        <w:pStyle w:val="Addressess"/>
      </w:pPr>
      <w:r w:rsidRPr="00DA0EC5">
        <w:t xml:space="preserve">PO Box 230 </w:t>
      </w:r>
    </w:p>
    <w:p w:rsidR="00DA0EC5" w:rsidRPr="00DA0EC5" w:rsidRDefault="00DA0EC5" w:rsidP="00F670CC">
      <w:pPr>
        <w:pStyle w:val="Addressess"/>
      </w:pPr>
      <w:r w:rsidRPr="00DA0EC5">
        <w:t xml:space="preserve">Stones Corner Qld 4102 </w:t>
      </w:r>
    </w:p>
    <w:p w:rsidR="00DA0EC5" w:rsidRPr="00DA0EC5" w:rsidRDefault="00DA0EC5" w:rsidP="00F670CC">
      <w:pPr>
        <w:pStyle w:val="Addressess"/>
      </w:pPr>
      <w:r w:rsidRPr="00DA0EC5">
        <w:t xml:space="preserve">Phone: 07 3873 7700 </w:t>
      </w:r>
    </w:p>
    <w:p w:rsidR="00DA0EC5" w:rsidRPr="00DA0EC5" w:rsidRDefault="00DA0EC5" w:rsidP="00F670CC">
      <w:pPr>
        <w:pStyle w:val="Addressess"/>
      </w:pPr>
      <w:r w:rsidRPr="00DA0EC5">
        <w:t xml:space="preserve">Email: burandahsc@hpw.qld.gov.au </w:t>
      </w:r>
    </w:p>
    <w:p w:rsidR="00DA0EC5" w:rsidRPr="00DA0EC5" w:rsidRDefault="00DA0EC5" w:rsidP="00F670CC">
      <w:pPr>
        <w:pStyle w:val="Add-Officename"/>
      </w:pPr>
      <w:r w:rsidRPr="00DA0EC5">
        <w:t xml:space="preserve">Chermside Housing Service Centre </w:t>
      </w:r>
    </w:p>
    <w:p w:rsidR="00DA0EC5" w:rsidRPr="00DA0EC5" w:rsidRDefault="00DA0EC5" w:rsidP="00F670CC">
      <w:pPr>
        <w:pStyle w:val="Addressess"/>
      </w:pPr>
      <w:r w:rsidRPr="00DA0EC5">
        <w:t xml:space="preserve">Level 3, 18 Banfield Street, Chermside </w:t>
      </w:r>
    </w:p>
    <w:p w:rsidR="00DA0EC5" w:rsidRPr="00DA0EC5" w:rsidRDefault="00DA0EC5" w:rsidP="00F670CC">
      <w:pPr>
        <w:pStyle w:val="Addressess"/>
      </w:pPr>
      <w:r w:rsidRPr="00DA0EC5">
        <w:t xml:space="preserve">PO Box 2352 </w:t>
      </w:r>
    </w:p>
    <w:p w:rsidR="00DA0EC5" w:rsidRPr="00DA0EC5" w:rsidRDefault="00DA0EC5" w:rsidP="00F670CC">
      <w:pPr>
        <w:pStyle w:val="Addressess"/>
      </w:pPr>
      <w:r w:rsidRPr="00DA0EC5">
        <w:t xml:space="preserve">Chermside Qld 4032 </w:t>
      </w:r>
    </w:p>
    <w:p w:rsidR="00DA0EC5" w:rsidRPr="00DA0EC5" w:rsidRDefault="00DA0EC5" w:rsidP="00F670CC">
      <w:pPr>
        <w:pStyle w:val="Addressess"/>
      </w:pPr>
      <w:r w:rsidRPr="00DA0EC5">
        <w:t xml:space="preserve">Phone: 07 3917 4600 </w:t>
      </w:r>
    </w:p>
    <w:p w:rsidR="00DA0EC5" w:rsidRPr="00DA0EC5" w:rsidRDefault="00DA0EC5" w:rsidP="00F670CC">
      <w:pPr>
        <w:pStyle w:val="Addressess"/>
      </w:pPr>
      <w:r w:rsidRPr="00DA0EC5">
        <w:t xml:space="preserve">Maintenance enquiries: 07 3896 9973 </w:t>
      </w:r>
    </w:p>
    <w:p w:rsidR="00DA0EC5" w:rsidRPr="00DA0EC5" w:rsidRDefault="00DA0EC5" w:rsidP="00F670CC">
      <w:pPr>
        <w:pStyle w:val="Addressess"/>
      </w:pPr>
      <w:r w:rsidRPr="00DA0EC5">
        <w:t xml:space="preserve">Email: chermsidehsc@hpw.qld.gov.au </w:t>
      </w:r>
    </w:p>
    <w:p w:rsidR="00DA0EC5" w:rsidRPr="00DA0EC5" w:rsidRDefault="00DA0EC5" w:rsidP="00F670CC">
      <w:pPr>
        <w:pStyle w:val="Add-Officename"/>
      </w:pPr>
      <w:r w:rsidRPr="00DA0EC5">
        <w:t xml:space="preserve">Fortitude Valley Housing Service Centre </w:t>
      </w:r>
    </w:p>
    <w:p w:rsidR="00DA0EC5" w:rsidRPr="00DA0EC5" w:rsidRDefault="00DA0EC5" w:rsidP="00F670CC">
      <w:pPr>
        <w:pStyle w:val="Addressess"/>
      </w:pPr>
      <w:r w:rsidRPr="00DA0EC5">
        <w:t xml:space="preserve">Level 7, 515 St Pauls Terrace, Fortitude Valley </w:t>
      </w:r>
    </w:p>
    <w:p w:rsidR="00DA0EC5" w:rsidRPr="00DA0EC5" w:rsidRDefault="00DA0EC5" w:rsidP="00F670CC">
      <w:pPr>
        <w:pStyle w:val="Addressess"/>
      </w:pPr>
      <w:r w:rsidRPr="00DA0EC5">
        <w:t xml:space="preserve">PO Box 445 </w:t>
      </w:r>
    </w:p>
    <w:p w:rsidR="00DA0EC5" w:rsidRPr="00DA0EC5" w:rsidRDefault="00DA0EC5" w:rsidP="00F670CC">
      <w:pPr>
        <w:pStyle w:val="Addressess"/>
      </w:pPr>
      <w:r w:rsidRPr="00DA0EC5">
        <w:t xml:space="preserve">Fortitude Valley Qld 4006 </w:t>
      </w:r>
    </w:p>
    <w:p w:rsidR="00DA0EC5" w:rsidRPr="00DA0EC5" w:rsidRDefault="00DA0EC5" w:rsidP="00F670CC">
      <w:pPr>
        <w:pStyle w:val="Addressess"/>
      </w:pPr>
      <w:r w:rsidRPr="00DA0EC5">
        <w:t xml:space="preserve">Phone: 07 3034 6500 </w:t>
      </w:r>
    </w:p>
    <w:p w:rsidR="00DA0EC5" w:rsidRPr="00DA0EC5" w:rsidRDefault="00DA0EC5" w:rsidP="00F670CC">
      <w:pPr>
        <w:pStyle w:val="Addressess"/>
      </w:pPr>
      <w:r w:rsidRPr="00DA0EC5">
        <w:t xml:space="preserve">Maintenance enquiries: 07 3872 0303 </w:t>
      </w:r>
    </w:p>
    <w:p w:rsidR="00DA0EC5" w:rsidRPr="00DA0EC5" w:rsidRDefault="00DA0EC5" w:rsidP="00F670CC">
      <w:pPr>
        <w:pStyle w:val="Addressess"/>
      </w:pPr>
      <w:r w:rsidRPr="00DA0EC5">
        <w:t xml:space="preserve">Email: fortitudevalleyhsc@hpw.qld.gov.au </w:t>
      </w:r>
    </w:p>
    <w:p w:rsidR="00DA0EC5" w:rsidRPr="00DA0EC5" w:rsidRDefault="00DA0EC5" w:rsidP="00F670CC">
      <w:pPr>
        <w:pStyle w:val="Add-Officename"/>
      </w:pPr>
      <w:r w:rsidRPr="00DA0EC5">
        <w:t xml:space="preserve">lnala Housing Service Centre </w:t>
      </w:r>
    </w:p>
    <w:p w:rsidR="00DA0EC5" w:rsidRPr="00DA0EC5" w:rsidRDefault="00DA0EC5" w:rsidP="00F670CC">
      <w:pPr>
        <w:pStyle w:val="Addressess"/>
      </w:pPr>
      <w:r w:rsidRPr="00DA0EC5">
        <w:t xml:space="preserve">Level 1, 14 Wirraway Parade, Inala </w:t>
      </w:r>
    </w:p>
    <w:p w:rsidR="00DA0EC5" w:rsidRPr="00DA0EC5" w:rsidRDefault="00DA0EC5" w:rsidP="00F670CC">
      <w:pPr>
        <w:pStyle w:val="Addressess"/>
      </w:pPr>
      <w:r w:rsidRPr="00DA0EC5">
        <w:t xml:space="preserve">PO Box 258 </w:t>
      </w:r>
    </w:p>
    <w:p w:rsidR="00DA0EC5" w:rsidRPr="00DA0EC5" w:rsidRDefault="00DA0EC5" w:rsidP="00F670CC">
      <w:pPr>
        <w:pStyle w:val="Addressess"/>
      </w:pPr>
      <w:r w:rsidRPr="00DA0EC5">
        <w:t xml:space="preserve">lnala Qld 4077 </w:t>
      </w:r>
    </w:p>
    <w:p w:rsidR="00DA0EC5" w:rsidRPr="00DA0EC5" w:rsidRDefault="00DA0EC5" w:rsidP="00F670CC">
      <w:pPr>
        <w:pStyle w:val="Addressess"/>
      </w:pPr>
      <w:r w:rsidRPr="00DA0EC5">
        <w:t xml:space="preserve">Phone: 07 3723 2000 </w:t>
      </w:r>
    </w:p>
    <w:p w:rsidR="00DA0EC5" w:rsidRPr="00DA0EC5" w:rsidRDefault="00DA0EC5" w:rsidP="00F670CC">
      <w:pPr>
        <w:pStyle w:val="Addressess"/>
      </w:pPr>
      <w:r w:rsidRPr="00DA0EC5">
        <w:t xml:space="preserve">Maintenance enquiries: 07 3362 9230 </w:t>
      </w:r>
    </w:p>
    <w:p w:rsidR="00DA0EC5" w:rsidRPr="00DA0EC5" w:rsidRDefault="00DA0EC5" w:rsidP="00F670CC">
      <w:pPr>
        <w:pStyle w:val="Addressess"/>
      </w:pPr>
      <w:r w:rsidRPr="00DA0EC5">
        <w:t xml:space="preserve">Email: inalahsc@hpw.qld.gov.au </w:t>
      </w:r>
    </w:p>
    <w:p w:rsidR="00DA0EC5" w:rsidRPr="00DA0EC5" w:rsidRDefault="00DA0EC5" w:rsidP="00F670CC">
      <w:pPr>
        <w:pStyle w:val="Addressess"/>
      </w:pPr>
      <w:r w:rsidRPr="00DA0EC5">
        <w:t xml:space="preserve">South West Region </w:t>
      </w:r>
    </w:p>
    <w:p w:rsidR="008B7210" w:rsidRDefault="008B7210" w:rsidP="008B7210">
      <w:pPr>
        <w:pStyle w:val="Add-Regions"/>
      </w:pPr>
      <w:r>
        <w:t>South West Region</w:t>
      </w:r>
    </w:p>
    <w:p w:rsidR="00DA0EC5" w:rsidRPr="00DA0EC5" w:rsidRDefault="00DA0EC5" w:rsidP="00F670CC">
      <w:pPr>
        <w:pStyle w:val="Add-Officename"/>
      </w:pPr>
      <w:r w:rsidRPr="00DA0EC5">
        <w:t xml:space="preserve">Office of the Regional Director, South West Region </w:t>
      </w:r>
    </w:p>
    <w:p w:rsidR="00DA0EC5" w:rsidRPr="00DA0EC5" w:rsidRDefault="00DA0EC5" w:rsidP="00F670CC">
      <w:pPr>
        <w:pStyle w:val="Addressess"/>
      </w:pPr>
      <w:r w:rsidRPr="00DA0EC5">
        <w:t xml:space="preserve">Level 4, Icon Tower </w:t>
      </w:r>
    </w:p>
    <w:p w:rsidR="00DA0EC5" w:rsidRPr="00DA0EC5" w:rsidRDefault="00DA0EC5" w:rsidP="00F670CC">
      <w:pPr>
        <w:pStyle w:val="Addressess"/>
      </w:pPr>
      <w:r w:rsidRPr="00DA0EC5">
        <w:t xml:space="preserve">117 Brisbane Street </w:t>
      </w:r>
    </w:p>
    <w:p w:rsidR="00DA0EC5" w:rsidRPr="00DA0EC5" w:rsidRDefault="00DA0EC5" w:rsidP="00F670CC">
      <w:pPr>
        <w:pStyle w:val="Addressess"/>
      </w:pPr>
      <w:r w:rsidRPr="00DA0EC5">
        <w:t xml:space="preserve">PO Box 255 </w:t>
      </w:r>
    </w:p>
    <w:p w:rsidR="00DA0EC5" w:rsidRPr="00DA0EC5" w:rsidRDefault="00DA0EC5" w:rsidP="00F670CC">
      <w:pPr>
        <w:pStyle w:val="Addressess"/>
      </w:pPr>
      <w:r w:rsidRPr="00DA0EC5">
        <w:t xml:space="preserve">Ipswich Qld 4305 </w:t>
      </w:r>
    </w:p>
    <w:p w:rsidR="00DA0EC5" w:rsidRDefault="00DA0EC5" w:rsidP="00F670CC">
      <w:pPr>
        <w:pStyle w:val="Addressess"/>
      </w:pPr>
      <w:r w:rsidRPr="00DA0EC5">
        <w:t>Phone: 07 3437 6044</w:t>
      </w:r>
    </w:p>
    <w:p w:rsidR="00DA0EC5" w:rsidRPr="00DA0EC5" w:rsidRDefault="008B7210" w:rsidP="008B7210">
      <w:pPr>
        <w:pStyle w:val="Add-Officename"/>
        <w:spacing w:before="0"/>
      </w:pPr>
      <w:r>
        <w:br w:type="column"/>
      </w:r>
      <w:r w:rsidR="00DA0EC5" w:rsidRPr="00DA0EC5">
        <w:t xml:space="preserve">Bayside Housing Service Centre </w:t>
      </w:r>
    </w:p>
    <w:p w:rsidR="00DA0EC5" w:rsidRPr="00DA0EC5" w:rsidRDefault="00DA0EC5" w:rsidP="00F670CC">
      <w:pPr>
        <w:pStyle w:val="Addressess"/>
      </w:pPr>
      <w:r w:rsidRPr="00DA0EC5">
        <w:t xml:space="preserve">Shop 3, 8–12 Dollery Road </w:t>
      </w:r>
    </w:p>
    <w:p w:rsidR="00DA0EC5" w:rsidRPr="00DA0EC5" w:rsidRDefault="00DA0EC5" w:rsidP="00F670CC">
      <w:pPr>
        <w:pStyle w:val="Addressess"/>
      </w:pPr>
      <w:r w:rsidRPr="00DA0EC5">
        <w:t xml:space="preserve">PO Box 91 </w:t>
      </w:r>
    </w:p>
    <w:p w:rsidR="00DA0EC5" w:rsidRPr="00DA0EC5" w:rsidRDefault="00DA0EC5" w:rsidP="00F670CC">
      <w:pPr>
        <w:pStyle w:val="Addressess"/>
      </w:pPr>
      <w:r w:rsidRPr="00DA0EC5">
        <w:t xml:space="preserve">Capalaba Qld 4157 </w:t>
      </w:r>
    </w:p>
    <w:p w:rsidR="00DA0EC5" w:rsidRPr="00DA0EC5" w:rsidRDefault="00DA0EC5" w:rsidP="00F670CC">
      <w:pPr>
        <w:pStyle w:val="Addressess"/>
      </w:pPr>
      <w:r w:rsidRPr="00DA0EC5">
        <w:t xml:space="preserve">Phone: 07 3034 9800 </w:t>
      </w:r>
    </w:p>
    <w:p w:rsidR="00DA0EC5" w:rsidRPr="00DA0EC5" w:rsidRDefault="00DA0EC5" w:rsidP="00F670CC">
      <w:pPr>
        <w:pStyle w:val="Addressess"/>
      </w:pPr>
      <w:r w:rsidRPr="00DA0EC5">
        <w:t xml:space="preserve">Maintenance enquiries: 07 3034 9891 </w:t>
      </w:r>
    </w:p>
    <w:p w:rsidR="00DA0EC5" w:rsidRPr="00DA0EC5" w:rsidRDefault="00DA0EC5" w:rsidP="00F670CC">
      <w:pPr>
        <w:pStyle w:val="Addressess"/>
      </w:pPr>
      <w:r w:rsidRPr="00DA0EC5">
        <w:t xml:space="preserve">Email: baysidehsc@hpw.qld.gov.au </w:t>
      </w:r>
    </w:p>
    <w:p w:rsidR="00DA0EC5" w:rsidRPr="00DA0EC5" w:rsidRDefault="00DA0EC5" w:rsidP="00F670CC">
      <w:pPr>
        <w:pStyle w:val="Add-Officename"/>
      </w:pPr>
      <w:r w:rsidRPr="00DA0EC5">
        <w:t xml:space="preserve">Ipswich Housing Service Centre </w:t>
      </w:r>
    </w:p>
    <w:p w:rsidR="00DA0EC5" w:rsidRPr="00DA0EC5" w:rsidRDefault="00DA0EC5" w:rsidP="00F670CC">
      <w:pPr>
        <w:pStyle w:val="Addressess"/>
      </w:pPr>
      <w:r w:rsidRPr="00DA0EC5">
        <w:t xml:space="preserve">Upper Ground Level, Icon Tower </w:t>
      </w:r>
    </w:p>
    <w:p w:rsidR="00DA0EC5" w:rsidRPr="00DA0EC5" w:rsidRDefault="00DA0EC5" w:rsidP="00F670CC">
      <w:pPr>
        <w:pStyle w:val="Addressess"/>
      </w:pPr>
      <w:r w:rsidRPr="00DA0EC5">
        <w:t xml:space="preserve">117 Brisbane Street </w:t>
      </w:r>
    </w:p>
    <w:p w:rsidR="00DA0EC5" w:rsidRPr="00DA0EC5" w:rsidRDefault="00DA0EC5" w:rsidP="00F670CC">
      <w:pPr>
        <w:pStyle w:val="Addressess"/>
      </w:pPr>
      <w:r w:rsidRPr="00DA0EC5">
        <w:t xml:space="preserve">PO Box 263 </w:t>
      </w:r>
    </w:p>
    <w:p w:rsidR="00DA0EC5" w:rsidRPr="00DA0EC5" w:rsidRDefault="00DA0EC5" w:rsidP="00F670CC">
      <w:pPr>
        <w:pStyle w:val="Addressess"/>
      </w:pPr>
      <w:r w:rsidRPr="00DA0EC5">
        <w:t xml:space="preserve">Ipswich Qld 4305 </w:t>
      </w:r>
    </w:p>
    <w:p w:rsidR="00DA0EC5" w:rsidRPr="00DA0EC5" w:rsidRDefault="00DA0EC5" w:rsidP="00F670CC">
      <w:pPr>
        <w:pStyle w:val="Addressess"/>
      </w:pPr>
      <w:r w:rsidRPr="00DA0EC5">
        <w:t xml:space="preserve">Phone: 07 3437 6000 or </w:t>
      </w:r>
    </w:p>
    <w:p w:rsidR="00DA0EC5" w:rsidRPr="00DA0EC5" w:rsidRDefault="00DA0EC5" w:rsidP="00F670CC">
      <w:pPr>
        <w:pStyle w:val="Addressess"/>
      </w:pPr>
      <w:r w:rsidRPr="00DA0EC5">
        <w:t xml:space="preserve">Toll free: 1800 636 390 </w:t>
      </w:r>
    </w:p>
    <w:p w:rsidR="00DA0EC5" w:rsidRPr="00DA0EC5" w:rsidRDefault="00DA0EC5" w:rsidP="00F670CC">
      <w:pPr>
        <w:pStyle w:val="Addressess"/>
      </w:pPr>
      <w:r w:rsidRPr="00DA0EC5">
        <w:t xml:space="preserve">Maintenance enquiries: 07 3280 1778 </w:t>
      </w:r>
    </w:p>
    <w:p w:rsidR="00DA0EC5" w:rsidRPr="00DA0EC5" w:rsidRDefault="00DA0EC5" w:rsidP="00F670CC">
      <w:pPr>
        <w:pStyle w:val="Addressess"/>
      </w:pPr>
      <w:r w:rsidRPr="00DA0EC5">
        <w:t xml:space="preserve">Email: ipswichhsc@hpw.qld.gov.au </w:t>
      </w:r>
    </w:p>
    <w:p w:rsidR="00DA0EC5" w:rsidRPr="00DA0EC5" w:rsidRDefault="00DA0EC5" w:rsidP="00F670CC">
      <w:pPr>
        <w:pStyle w:val="Add-Officename"/>
      </w:pPr>
      <w:r w:rsidRPr="00DA0EC5">
        <w:t xml:space="preserve">Gold Coast Housing Service Centre </w:t>
      </w:r>
    </w:p>
    <w:p w:rsidR="00DA0EC5" w:rsidRPr="00DA0EC5" w:rsidRDefault="00DA0EC5" w:rsidP="00F670CC">
      <w:pPr>
        <w:pStyle w:val="Addressess"/>
      </w:pPr>
      <w:r w:rsidRPr="00DA0EC5">
        <w:t xml:space="preserve">Shop 80, Bazaar Street </w:t>
      </w:r>
    </w:p>
    <w:p w:rsidR="00DA0EC5" w:rsidRPr="00DA0EC5" w:rsidRDefault="00DA0EC5" w:rsidP="00F670CC">
      <w:pPr>
        <w:pStyle w:val="Addressess"/>
      </w:pPr>
      <w:r w:rsidRPr="00DA0EC5">
        <w:t xml:space="preserve">Robina Town Centre </w:t>
      </w:r>
    </w:p>
    <w:p w:rsidR="00DA0EC5" w:rsidRPr="00DA0EC5" w:rsidRDefault="00DA0EC5" w:rsidP="00F670CC">
      <w:pPr>
        <w:pStyle w:val="Addressess"/>
      </w:pPr>
      <w:r w:rsidRPr="00DA0EC5">
        <w:t xml:space="preserve">PO Box 4059 </w:t>
      </w:r>
    </w:p>
    <w:p w:rsidR="00DA0EC5" w:rsidRPr="00DA0EC5" w:rsidRDefault="00DA0EC5" w:rsidP="00F670CC">
      <w:pPr>
        <w:pStyle w:val="Addressess"/>
      </w:pPr>
      <w:r w:rsidRPr="00DA0EC5">
        <w:t xml:space="preserve">Robina Town Centre Qld 4230 </w:t>
      </w:r>
    </w:p>
    <w:p w:rsidR="00DA0EC5" w:rsidRPr="00DA0EC5" w:rsidRDefault="00DA0EC5" w:rsidP="00F670CC">
      <w:pPr>
        <w:pStyle w:val="Addressess"/>
      </w:pPr>
      <w:r w:rsidRPr="00DA0EC5">
        <w:t xml:space="preserve">Phone: 07 5645 8100 </w:t>
      </w:r>
    </w:p>
    <w:p w:rsidR="00DA0EC5" w:rsidRPr="00DA0EC5" w:rsidRDefault="00DA0EC5" w:rsidP="00F670CC">
      <w:pPr>
        <w:pStyle w:val="Addressess"/>
      </w:pPr>
      <w:r w:rsidRPr="00DA0EC5">
        <w:t xml:space="preserve">Maintenance enquiries: 1300 650 917 </w:t>
      </w:r>
    </w:p>
    <w:p w:rsidR="00DA0EC5" w:rsidRPr="00DA0EC5" w:rsidRDefault="00DA0EC5" w:rsidP="00F670CC">
      <w:pPr>
        <w:pStyle w:val="Addressess"/>
      </w:pPr>
      <w:r w:rsidRPr="00DA0EC5">
        <w:t xml:space="preserve">Email: goldcoasthsc@hpw.qld.gov.au </w:t>
      </w:r>
    </w:p>
    <w:p w:rsidR="00DA0EC5" w:rsidRPr="00DA0EC5" w:rsidRDefault="00DA0EC5" w:rsidP="00F670CC">
      <w:pPr>
        <w:pStyle w:val="Add-Officename"/>
      </w:pPr>
      <w:r w:rsidRPr="00DA0EC5">
        <w:t xml:space="preserve">Logan Housing Service Centre </w:t>
      </w:r>
    </w:p>
    <w:p w:rsidR="00DA0EC5" w:rsidRPr="00DA0EC5" w:rsidRDefault="00DA0EC5" w:rsidP="00F670CC">
      <w:pPr>
        <w:pStyle w:val="Addressess"/>
      </w:pPr>
      <w:r w:rsidRPr="00DA0EC5">
        <w:t xml:space="preserve">11 Station Road </w:t>
      </w:r>
    </w:p>
    <w:p w:rsidR="00DA0EC5" w:rsidRPr="00DA0EC5" w:rsidRDefault="00DA0EC5" w:rsidP="00F670CC">
      <w:pPr>
        <w:pStyle w:val="Addressess"/>
      </w:pPr>
      <w:r w:rsidRPr="00DA0EC5">
        <w:t xml:space="preserve">PO Box 5 </w:t>
      </w:r>
    </w:p>
    <w:p w:rsidR="00DA0EC5" w:rsidRPr="00DA0EC5" w:rsidRDefault="00DA0EC5" w:rsidP="00F670CC">
      <w:pPr>
        <w:pStyle w:val="Addressess"/>
      </w:pPr>
      <w:r w:rsidRPr="00DA0EC5">
        <w:t xml:space="preserve">Woodridge Qld 4114 </w:t>
      </w:r>
    </w:p>
    <w:p w:rsidR="00DA0EC5" w:rsidRPr="00DA0EC5" w:rsidRDefault="00DA0EC5" w:rsidP="00F670CC">
      <w:pPr>
        <w:pStyle w:val="Addressess"/>
      </w:pPr>
      <w:r w:rsidRPr="00DA0EC5">
        <w:t xml:space="preserve">Phone: 07 3086 3700 </w:t>
      </w:r>
    </w:p>
    <w:p w:rsidR="00DA0EC5" w:rsidRPr="00DA0EC5" w:rsidRDefault="00DA0EC5" w:rsidP="00F670CC">
      <w:pPr>
        <w:pStyle w:val="Addressess"/>
      </w:pPr>
      <w:r w:rsidRPr="00DA0EC5">
        <w:t xml:space="preserve">Maintenance enquiries: 07 3086 3740 </w:t>
      </w:r>
    </w:p>
    <w:p w:rsidR="00DA0EC5" w:rsidRPr="00DA0EC5" w:rsidRDefault="00DA0EC5" w:rsidP="00F670CC">
      <w:pPr>
        <w:pStyle w:val="Addressess"/>
      </w:pPr>
      <w:r w:rsidRPr="00DA0EC5">
        <w:t xml:space="preserve">Email: loganhsc@hpw.qld.gov.au </w:t>
      </w:r>
    </w:p>
    <w:p w:rsidR="00DA0EC5" w:rsidRPr="00DA0EC5" w:rsidRDefault="00DA0EC5" w:rsidP="00F670CC">
      <w:pPr>
        <w:pStyle w:val="Add-Officename"/>
      </w:pPr>
      <w:r w:rsidRPr="00DA0EC5">
        <w:t xml:space="preserve">Toowoomba and South West Housing Service Centre </w:t>
      </w:r>
    </w:p>
    <w:p w:rsidR="00DA0EC5" w:rsidRPr="00DA0EC5" w:rsidRDefault="00DA0EC5" w:rsidP="00F670CC">
      <w:pPr>
        <w:pStyle w:val="Addressess"/>
      </w:pPr>
      <w:r w:rsidRPr="00DA0EC5">
        <w:t xml:space="preserve">Level 2, 10 Russell Street </w:t>
      </w:r>
    </w:p>
    <w:p w:rsidR="00DA0EC5" w:rsidRPr="00DA0EC5" w:rsidRDefault="00DA0EC5" w:rsidP="00F670CC">
      <w:pPr>
        <w:pStyle w:val="Addressess"/>
      </w:pPr>
      <w:r w:rsidRPr="00DA0EC5">
        <w:t xml:space="preserve">Toowoomba </w:t>
      </w:r>
    </w:p>
    <w:p w:rsidR="00DA0EC5" w:rsidRPr="00DA0EC5" w:rsidRDefault="00DA0EC5" w:rsidP="00F670CC">
      <w:pPr>
        <w:pStyle w:val="Addressess"/>
      </w:pPr>
      <w:r w:rsidRPr="00DA0EC5">
        <w:t xml:space="preserve">PO Box 418 </w:t>
      </w:r>
    </w:p>
    <w:p w:rsidR="00DA0EC5" w:rsidRPr="00DA0EC5" w:rsidRDefault="00DA0EC5" w:rsidP="00F670CC">
      <w:pPr>
        <w:pStyle w:val="Addressess"/>
      </w:pPr>
      <w:r w:rsidRPr="00DA0EC5">
        <w:t xml:space="preserve">Toowoomba Qld 4350 </w:t>
      </w:r>
    </w:p>
    <w:p w:rsidR="00DA0EC5" w:rsidRPr="00DA0EC5" w:rsidRDefault="00DA0EC5" w:rsidP="00F670CC">
      <w:pPr>
        <w:pStyle w:val="Addressess"/>
      </w:pPr>
      <w:r w:rsidRPr="00DA0EC5">
        <w:t xml:space="preserve">Phone: 07 4699 4400 </w:t>
      </w:r>
    </w:p>
    <w:p w:rsidR="00DA0EC5" w:rsidRPr="00DA0EC5" w:rsidRDefault="00DA0EC5" w:rsidP="00F670CC">
      <w:pPr>
        <w:pStyle w:val="Addressess"/>
      </w:pPr>
      <w:r w:rsidRPr="00DA0EC5">
        <w:t xml:space="preserve">1800 623 435 (within area) </w:t>
      </w:r>
    </w:p>
    <w:p w:rsidR="00DA0EC5" w:rsidRPr="00DA0EC5" w:rsidRDefault="00DA0EC5" w:rsidP="00F670CC">
      <w:pPr>
        <w:pStyle w:val="Addressess"/>
      </w:pPr>
      <w:r w:rsidRPr="00DA0EC5">
        <w:t xml:space="preserve">Maintenance enquiries: 1300 650 915 </w:t>
      </w:r>
    </w:p>
    <w:p w:rsidR="00DA0EC5" w:rsidRPr="00DA0EC5" w:rsidRDefault="00DA0EC5" w:rsidP="00F670CC">
      <w:pPr>
        <w:pStyle w:val="Addressess"/>
      </w:pPr>
      <w:r w:rsidRPr="00DA0EC5">
        <w:lastRenderedPageBreak/>
        <w:t xml:space="preserve">Email: toowoombahsc@hpw.qld.gov.au </w:t>
      </w:r>
    </w:p>
    <w:p w:rsidR="00DA0EC5" w:rsidRPr="00DA0EC5" w:rsidRDefault="00DA0EC5" w:rsidP="00F670CC">
      <w:pPr>
        <w:pStyle w:val="Heading3"/>
        <w:rPr>
          <w:lang w:val="en-AU"/>
        </w:rPr>
      </w:pPr>
      <w:r w:rsidRPr="00DA0EC5">
        <w:rPr>
          <w:lang w:val="en-AU"/>
        </w:rPr>
        <w:t xml:space="preserve">Sport and Recreation Services </w:t>
      </w:r>
    </w:p>
    <w:p w:rsidR="00DA0EC5" w:rsidRPr="00DA0EC5" w:rsidRDefault="00DA0EC5" w:rsidP="006B4DFB">
      <w:pPr>
        <w:pStyle w:val="Addressess"/>
      </w:pPr>
      <w:r w:rsidRPr="00DA0EC5">
        <w:t xml:space="preserve">As at 30 June 2018, Sport and Recreation operate from a central head office in Brisbane and from a network of 16 offices throughout Queensland. </w:t>
      </w:r>
    </w:p>
    <w:p w:rsidR="00DA0EC5" w:rsidRPr="00DA0EC5" w:rsidRDefault="00DA0EC5" w:rsidP="006B4DFB">
      <w:pPr>
        <w:pStyle w:val="Addressess"/>
      </w:pPr>
      <w:r w:rsidRPr="00DA0EC5">
        <w:t xml:space="preserve">Sport and Recreation also operate the </w:t>
      </w:r>
      <w:r w:rsidRPr="00DA0EC5">
        <w:rPr>
          <w:rFonts w:ascii="MetaBoldLF-Roman" w:hAnsi="MetaBoldLF-Roman" w:cs="MetaBoldLF-Roman"/>
        </w:rPr>
        <w:t xml:space="preserve">Queensland Recreation Centres </w:t>
      </w:r>
      <w:r w:rsidRPr="00DA0EC5">
        <w:t xml:space="preserve">on the Gold and Sunshine Coasts. </w:t>
      </w:r>
    </w:p>
    <w:p w:rsidR="00DA0EC5" w:rsidRPr="00DA0EC5" w:rsidRDefault="00DA0EC5" w:rsidP="006B4DFB">
      <w:pPr>
        <w:pStyle w:val="Addressess"/>
      </w:pPr>
      <w:r w:rsidRPr="00DA0EC5">
        <w:t xml:space="preserve">Phone: 13 74 68 (13 QGOV) </w:t>
      </w:r>
    </w:p>
    <w:p w:rsidR="00DA0EC5" w:rsidRPr="00DA0EC5" w:rsidRDefault="00DA0EC5" w:rsidP="006B4DFB">
      <w:pPr>
        <w:pStyle w:val="Addressess"/>
      </w:pPr>
      <w:r w:rsidRPr="00DA0EC5">
        <w:t xml:space="preserve">Email: SR_Info@npsr.qld.gov.au </w:t>
      </w:r>
    </w:p>
    <w:p w:rsidR="00DA0EC5" w:rsidRPr="00DA0EC5" w:rsidRDefault="00DA0EC5" w:rsidP="006B4DFB">
      <w:pPr>
        <w:pStyle w:val="Addressess"/>
      </w:pPr>
      <w:r w:rsidRPr="00DA0EC5">
        <w:t xml:space="preserve">Fax: 07 3338 9226 </w:t>
      </w:r>
    </w:p>
    <w:p w:rsidR="00DA0EC5" w:rsidRPr="00DA0EC5" w:rsidRDefault="00DA0EC5" w:rsidP="006B4DFB">
      <w:pPr>
        <w:pStyle w:val="Add-Regions"/>
      </w:pPr>
      <w:r w:rsidRPr="00DA0EC5">
        <w:t xml:space="preserve">South Coast Service Area </w:t>
      </w:r>
    </w:p>
    <w:p w:rsidR="00DA0EC5" w:rsidRPr="00DA0EC5" w:rsidRDefault="00DA0EC5" w:rsidP="00F670CC">
      <w:pPr>
        <w:pStyle w:val="Add-Officename"/>
      </w:pPr>
      <w:r w:rsidRPr="00DA0EC5">
        <w:t xml:space="preserve">Underwood office </w:t>
      </w:r>
    </w:p>
    <w:p w:rsidR="00DA0EC5" w:rsidRPr="00DA0EC5" w:rsidRDefault="00DA0EC5" w:rsidP="006B4DFB">
      <w:pPr>
        <w:pStyle w:val="Addressess"/>
      </w:pPr>
      <w:r w:rsidRPr="00DA0EC5">
        <w:t xml:space="preserve">Unit 9 Level 1 </w:t>
      </w:r>
    </w:p>
    <w:p w:rsidR="00DA0EC5" w:rsidRPr="00DA0EC5" w:rsidRDefault="00DA0EC5" w:rsidP="006B4DFB">
      <w:pPr>
        <w:pStyle w:val="Addressess"/>
      </w:pPr>
      <w:r w:rsidRPr="00DA0EC5">
        <w:t xml:space="preserve">54–66 Perrin Drive </w:t>
      </w:r>
    </w:p>
    <w:p w:rsidR="00DA0EC5" w:rsidRPr="00DA0EC5" w:rsidRDefault="00DA0EC5" w:rsidP="006B4DFB">
      <w:pPr>
        <w:pStyle w:val="Addressess"/>
      </w:pPr>
      <w:r w:rsidRPr="00DA0EC5">
        <w:t xml:space="preserve">Underwood Qld 4119 </w:t>
      </w:r>
    </w:p>
    <w:p w:rsidR="00DA0EC5" w:rsidRPr="00DA0EC5" w:rsidRDefault="00DA0EC5" w:rsidP="006B4DFB">
      <w:pPr>
        <w:pStyle w:val="Addressess"/>
      </w:pPr>
      <w:r w:rsidRPr="00DA0EC5">
        <w:t xml:space="preserve">Phone: 07 3078 3188 </w:t>
      </w:r>
    </w:p>
    <w:p w:rsidR="00DA0EC5" w:rsidRPr="00DA0EC5" w:rsidRDefault="00DA0EC5" w:rsidP="006B4DFB">
      <w:pPr>
        <w:pStyle w:val="Addressess"/>
      </w:pPr>
      <w:r w:rsidRPr="00DA0EC5">
        <w:t xml:space="preserve">Email: SR_South Coast@npsr.qld.gov.au </w:t>
      </w:r>
    </w:p>
    <w:p w:rsidR="00DA0EC5" w:rsidRPr="00DA0EC5" w:rsidRDefault="00DA0EC5" w:rsidP="00F670CC">
      <w:pPr>
        <w:pStyle w:val="Add-Officename"/>
      </w:pPr>
      <w:r w:rsidRPr="00DA0EC5">
        <w:t xml:space="preserve">Gold Coast office </w:t>
      </w:r>
    </w:p>
    <w:p w:rsidR="00DA0EC5" w:rsidRPr="00DA0EC5" w:rsidRDefault="00DA0EC5" w:rsidP="006B4DFB">
      <w:pPr>
        <w:pStyle w:val="Addressess"/>
      </w:pPr>
      <w:r w:rsidRPr="00DA0EC5">
        <w:t xml:space="preserve">1525 Gold Coast Highway </w:t>
      </w:r>
    </w:p>
    <w:p w:rsidR="00DA0EC5" w:rsidRPr="00DA0EC5" w:rsidRDefault="00DA0EC5" w:rsidP="006B4DFB">
      <w:pPr>
        <w:pStyle w:val="Addressess"/>
      </w:pPr>
      <w:r w:rsidRPr="00DA0EC5">
        <w:t xml:space="preserve">North Palm Beach QLD 4221 </w:t>
      </w:r>
    </w:p>
    <w:p w:rsidR="00DA0EC5" w:rsidRPr="00DA0EC5" w:rsidRDefault="00DA0EC5" w:rsidP="006B4DFB">
      <w:pPr>
        <w:pStyle w:val="Addressess"/>
      </w:pPr>
      <w:r w:rsidRPr="00DA0EC5">
        <w:t xml:space="preserve">PO Box 50 </w:t>
      </w:r>
    </w:p>
    <w:p w:rsidR="00DA0EC5" w:rsidRPr="00DA0EC5" w:rsidRDefault="00DA0EC5" w:rsidP="006B4DFB">
      <w:pPr>
        <w:pStyle w:val="Addressess"/>
      </w:pPr>
      <w:r w:rsidRPr="00DA0EC5">
        <w:t xml:space="preserve">Burleigh Heads Qld 4220 </w:t>
      </w:r>
    </w:p>
    <w:p w:rsidR="00DA0EC5" w:rsidRPr="00DA0EC5" w:rsidRDefault="00DA0EC5" w:rsidP="006B4DFB">
      <w:pPr>
        <w:pStyle w:val="Addressess"/>
      </w:pPr>
      <w:r w:rsidRPr="00DA0EC5">
        <w:t xml:space="preserve">Phone: 07 5669 2114 </w:t>
      </w:r>
    </w:p>
    <w:p w:rsidR="00DA0EC5" w:rsidRPr="00DA0EC5" w:rsidRDefault="00DA0EC5" w:rsidP="006B4DFB">
      <w:pPr>
        <w:pStyle w:val="Addressess"/>
      </w:pPr>
      <w:r w:rsidRPr="00DA0EC5">
        <w:t xml:space="preserve">Email: SR_South Coast@npsr.qld.gov.au </w:t>
      </w:r>
    </w:p>
    <w:p w:rsidR="00DA0EC5" w:rsidRPr="00DA0EC5" w:rsidRDefault="00DA0EC5" w:rsidP="00F670CC">
      <w:pPr>
        <w:pStyle w:val="Add-Regions"/>
      </w:pPr>
      <w:r w:rsidRPr="00DA0EC5">
        <w:t xml:space="preserve">North Coast Service Area </w:t>
      </w:r>
    </w:p>
    <w:p w:rsidR="00DA0EC5" w:rsidRPr="00DA0EC5" w:rsidRDefault="00DA0EC5" w:rsidP="00F670CC">
      <w:pPr>
        <w:pStyle w:val="Add-Officename"/>
      </w:pPr>
      <w:r w:rsidRPr="00DA0EC5">
        <w:t xml:space="preserve">Sunshine Coast office </w:t>
      </w:r>
    </w:p>
    <w:p w:rsidR="00DA0EC5" w:rsidRPr="00DA0EC5" w:rsidRDefault="00DA0EC5" w:rsidP="006B4DFB">
      <w:pPr>
        <w:pStyle w:val="Addressess"/>
      </w:pPr>
      <w:r w:rsidRPr="00DA0EC5">
        <w:t xml:space="preserve">Level 6, </w:t>
      </w:r>
    </w:p>
    <w:p w:rsidR="00DA0EC5" w:rsidRPr="00DA0EC5" w:rsidRDefault="00DA0EC5" w:rsidP="006B4DFB">
      <w:pPr>
        <w:pStyle w:val="Addressess"/>
      </w:pPr>
      <w:r w:rsidRPr="00DA0EC5">
        <w:t xml:space="preserve">12 First Avenue </w:t>
      </w:r>
    </w:p>
    <w:p w:rsidR="00DA0EC5" w:rsidRPr="00DA0EC5" w:rsidRDefault="00DA0EC5" w:rsidP="006B4DFB">
      <w:pPr>
        <w:pStyle w:val="Addressess"/>
      </w:pPr>
      <w:r w:rsidRPr="00DA0EC5">
        <w:t xml:space="preserve">PO Box 3008 </w:t>
      </w:r>
    </w:p>
    <w:p w:rsidR="00DA0EC5" w:rsidRPr="00DA0EC5" w:rsidRDefault="00DA0EC5" w:rsidP="006B4DFB">
      <w:pPr>
        <w:pStyle w:val="Addressess"/>
      </w:pPr>
      <w:r w:rsidRPr="00DA0EC5">
        <w:t xml:space="preserve">Maroochydore Qld 4558 </w:t>
      </w:r>
    </w:p>
    <w:p w:rsidR="00DA0EC5" w:rsidRPr="00DA0EC5" w:rsidRDefault="00DA0EC5" w:rsidP="006B4DFB">
      <w:pPr>
        <w:pStyle w:val="Addressess"/>
      </w:pPr>
      <w:r w:rsidRPr="00DA0EC5">
        <w:t xml:space="preserve">Phone: 07 5459 6176 </w:t>
      </w:r>
    </w:p>
    <w:p w:rsidR="00DA0EC5" w:rsidRPr="00DA0EC5" w:rsidRDefault="00DA0EC5" w:rsidP="006B4DFB">
      <w:pPr>
        <w:pStyle w:val="Addressess"/>
      </w:pPr>
      <w:r w:rsidRPr="00DA0EC5">
        <w:t xml:space="preserve">Email: north.coast@npsr.qld.gov.au </w:t>
      </w:r>
    </w:p>
    <w:p w:rsidR="00DA0EC5" w:rsidRPr="00DA0EC5" w:rsidRDefault="008B7210" w:rsidP="00F670CC">
      <w:pPr>
        <w:pStyle w:val="Add-Officename"/>
      </w:pPr>
      <w:r>
        <w:br w:type="column"/>
      </w:r>
      <w:r w:rsidR="00DA0EC5" w:rsidRPr="00DA0EC5">
        <w:t xml:space="preserve">Brisbane </w:t>
      </w:r>
    </w:p>
    <w:p w:rsidR="00DA0EC5" w:rsidRPr="00DA0EC5" w:rsidRDefault="00DA0EC5" w:rsidP="006B4DFB">
      <w:pPr>
        <w:pStyle w:val="Addressess"/>
      </w:pPr>
      <w:r w:rsidRPr="00DA0EC5">
        <w:t xml:space="preserve">Level 6, 400 George Street </w:t>
      </w:r>
    </w:p>
    <w:p w:rsidR="00DA0EC5" w:rsidRPr="00DA0EC5" w:rsidRDefault="00DA0EC5" w:rsidP="006B4DFB">
      <w:pPr>
        <w:pStyle w:val="Addressess"/>
      </w:pPr>
      <w:r w:rsidRPr="00DA0EC5">
        <w:t xml:space="preserve">Brisbane Qld 4002 </w:t>
      </w:r>
    </w:p>
    <w:p w:rsidR="00DA0EC5" w:rsidRPr="00DA0EC5" w:rsidRDefault="00DA0EC5" w:rsidP="006B4DFB">
      <w:pPr>
        <w:pStyle w:val="Addressess"/>
      </w:pPr>
      <w:r w:rsidRPr="00DA0EC5">
        <w:t xml:space="preserve">PO Box 15478 </w:t>
      </w:r>
    </w:p>
    <w:p w:rsidR="00DA0EC5" w:rsidRPr="00DA0EC5" w:rsidRDefault="00DA0EC5" w:rsidP="006B4DFB">
      <w:pPr>
        <w:pStyle w:val="Addressess"/>
      </w:pPr>
      <w:r w:rsidRPr="00DA0EC5">
        <w:t xml:space="preserve">City East Qld 4002 </w:t>
      </w:r>
    </w:p>
    <w:p w:rsidR="00DA0EC5" w:rsidRPr="00DA0EC5" w:rsidRDefault="00DA0EC5" w:rsidP="006B4DFB">
      <w:pPr>
        <w:pStyle w:val="Addressess"/>
      </w:pPr>
      <w:r w:rsidRPr="00DA0EC5">
        <w:t xml:space="preserve">Phone: 07 3333 5309 </w:t>
      </w:r>
    </w:p>
    <w:p w:rsidR="00DA0EC5" w:rsidRPr="00DA0EC5" w:rsidRDefault="00DA0EC5" w:rsidP="006B4DFB">
      <w:pPr>
        <w:pStyle w:val="Addressess"/>
      </w:pPr>
      <w:r w:rsidRPr="00DA0EC5">
        <w:t xml:space="preserve">Email: srs.bris.sportrec@npsr.qld.gov.au </w:t>
      </w:r>
    </w:p>
    <w:p w:rsidR="00DA0EC5" w:rsidRPr="00DA0EC5" w:rsidRDefault="00DA0EC5" w:rsidP="00F670CC">
      <w:pPr>
        <w:pStyle w:val="Add-Officename"/>
      </w:pPr>
      <w:r w:rsidRPr="00DA0EC5">
        <w:t xml:space="preserve">Ipswich office </w:t>
      </w:r>
    </w:p>
    <w:p w:rsidR="00DA0EC5" w:rsidRPr="00DA0EC5" w:rsidRDefault="00DA0EC5" w:rsidP="006B4DFB">
      <w:pPr>
        <w:pStyle w:val="Addressess"/>
      </w:pPr>
      <w:r w:rsidRPr="00DA0EC5">
        <w:t xml:space="preserve">Level 4 ICON Building </w:t>
      </w:r>
    </w:p>
    <w:p w:rsidR="00DA0EC5" w:rsidRPr="00DA0EC5" w:rsidRDefault="00DA0EC5" w:rsidP="006B4DFB">
      <w:pPr>
        <w:pStyle w:val="Addressess"/>
      </w:pPr>
      <w:r w:rsidRPr="00DA0EC5">
        <w:t xml:space="preserve">117 Brisbane Street </w:t>
      </w:r>
    </w:p>
    <w:p w:rsidR="00DA0EC5" w:rsidRPr="00DA0EC5" w:rsidRDefault="00DA0EC5" w:rsidP="006B4DFB">
      <w:pPr>
        <w:pStyle w:val="Addressess"/>
      </w:pPr>
      <w:r w:rsidRPr="00DA0EC5">
        <w:t xml:space="preserve">Ipswich Qld 4305 </w:t>
      </w:r>
    </w:p>
    <w:p w:rsidR="00DA0EC5" w:rsidRPr="00DA0EC5" w:rsidRDefault="00DA0EC5" w:rsidP="006B4DFB">
      <w:pPr>
        <w:pStyle w:val="Addressess"/>
      </w:pPr>
      <w:r w:rsidRPr="00DA0EC5">
        <w:t xml:space="preserve">PO Box 3008 </w:t>
      </w:r>
    </w:p>
    <w:p w:rsidR="00DA0EC5" w:rsidRPr="00DA0EC5" w:rsidRDefault="00DA0EC5" w:rsidP="006B4DFB">
      <w:pPr>
        <w:pStyle w:val="Addressess"/>
      </w:pPr>
      <w:r w:rsidRPr="00DA0EC5">
        <w:t xml:space="preserve">C/O Maroochydore Qld 4558 </w:t>
      </w:r>
    </w:p>
    <w:p w:rsidR="00DA0EC5" w:rsidRPr="00DA0EC5" w:rsidRDefault="00DA0EC5" w:rsidP="006B4DFB">
      <w:pPr>
        <w:pStyle w:val="Addressess"/>
      </w:pPr>
      <w:r w:rsidRPr="00DA0EC5">
        <w:t xml:space="preserve">Phone: 0477 317 531 </w:t>
      </w:r>
    </w:p>
    <w:p w:rsidR="00DA0EC5" w:rsidRPr="00DA0EC5" w:rsidRDefault="00DA0EC5" w:rsidP="006B4DFB">
      <w:pPr>
        <w:pStyle w:val="Addressess"/>
      </w:pPr>
      <w:r w:rsidRPr="00DA0EC5">
        <w:t xml:space="preserve">Email: north.coast@npsr.qld.gov.au </w:t>
      </w:r>
    </w:p>
    <w:p w:rsidR="00DA0EC5" w:rsidRPr="00DA0EC5" w:rsidRDefault="00DA0EC5" w:rsidP="00F670CC">
      <w:pPr>
        <w:pStyle w:val="Add-Regions"/>
      </w:pPr>
      <w:r w:rsidRPr="00DA0EC5">
        <w:t xml:space="preserve">South West Service Area </w:t>
      </w:r>
    </w:p>
    <w:p w:rsidR="00DA0EC5" w:rsidRPr="00DA0EC5" w:rsidRDefault="00DA0EC5" w:rsidP="006B4DFB">
      <w:pPr>
        <w:pStyle w:val="Add-Officename"/>
      </w:pPr>
      <w:r w:rsidRPr="00DA0EC5">
        <w:t xml:space="preserve">Toowoomba office </w:t>
      </w:r>
    </w:p>
    <w:p w:rsidR="00DA0EC5" w:rsidRPr="00DA0EC5" w:rsidRDefault="00DA0EC5" w:rsidP="006B4DFB">
      <w:pPr>
        <w:pStyle w:val="Addressess"/>
      </w:pPr>
      <w:r w:rsidRPr="00DA0EC5">
        <w:t xml:space="preserve">Toowoomba Sports Ground </w:t>
      </w:r>
    </w:p>
    <w:p w:rsidR="00DA0EC5" w:rsidRPr="00DA0EC5" w:rsidRDefault="00DA0EC5" w:rsidP="006B4DFB">
      <w:pPr>
        <w:pStyle w:val="Addressess"/>
      </w:pPr>
      <w:r w:rsidRPr="00DA0EC5">
        <w:t xml:space="preserve">Ground Floor, Clive Berghofer Stadium </w:t>
      </w:r>
    </w:p>
    <w:p w:rsidR="00DA0EC5" w:rsidRPr="00DA0EC5" w:rsidRDefault="00DA0EC5" w:rsidP="006B4DFB">
      <w:pPr>
        <w:pStyle w:val="Addressess"/>
      </w:pPr>
      <w:r w:rsidRPr="00DA0EC5">
        <w:t xml:space="preserve">47 Arthur Street </w:t>
      </w:r>
    </w:p>
    <w:p w:rsidR="00DA0EC5" w:rsidRPr="00DA0EC5" w:rsidRDefault="00DA0EC5" w:rsidP="006B4DFB">
      <w:pPr>
        <w:pStyle w:val="Addressess"/>
      </w:pPr>
      <w:r w:rsidRPr="00DA0EC5">
        <w:t xml:space="preserve">PO Box 2259 </w:t>
      </w:r>
    </w:p>
    <w:p w:rsidR="00DA0EC5" w:rsidRPr="00DA0EC5" w:rsidRDefault="00DA0EC5" w:rsidP="006B4DFB">
      <w:pPr>
        <w:pStyle w:val="Addressess"/>
      </w:pPr>
      <w:r w:rsidRPr="00DA0EC5">
        <w:t xml:space="preserve">Toowoomba Qld 4350 </w:t>
      </w:r>
    </w:p>
    <w:p w:rsidR="00DA0EC5" w:rsidRPr="00DA0EC5" w:rsidRDefault="00DA0EC5" w:rsidP="006B4DFB">
      <w:pPr>
        <w:pStyle w:val="Addressess"/>
      </w:pPr>
      <w:r w:rsidRPr="00DA0EC5">
        <w:t xml:space="preserve">Phone: 07 4596 1006 </w:t>
      </w:r>
    </w:p>
    <w:p w:rsidR="00DA0EC5" w:rsidRPr="00DA0EC5" w:rsidRDefault="00DA0EC5" w:rsidP="006B4DFB">
      <w:pPr>
        <w:pStyle w:val="Addressess"/>
      </w:pPr>
      <w:r w:rsidRPr="00DA0EC5">
        <w:t xml:space="preserve">Email: SRSSWSportRec@npsr.qld.gov.au </w:t>
      </w:r>
    </w:p>
    <w:p w:rsidR="00DA0EC5" w:rsidRPr="00DA0EC5" w:rsidRDefault="00DA0EC5" w:rsidP="006B4DFB">
      <w:pPr>
        <w:pStyle w:val="Add-Officename"/>
      </w:pPr>
      <w:r w:rsidRPr="00DA0EC5">
        <w:t xml:space="preserve">Bundaberg office </w:t>
      </w:r>
    </w:p>
    <w:p w:rsidR="00DA0EC5" w:rsidRPr="00DA0EC5" w:rsidRDefault="00DA0EC5" w:rsidP="006B4DFB">
      <w:pPr>
        <w:pStyle w:val="Addressess"/>
      </w:pPr>
      <w:r w:rsidRPr="00DA0EC5">
        <w:t xml:space="preserve">16 Enterprise Street </w:t>
      </w:r>
    </w:p>
    <w:p w:rsidR="00DA0EC5" w:rsidRPr="00DA0EC5" w:rsidRDefault="00DA0EC5" w:rsidP="006B4DFB">
      <w:pPr>
        <w:pStyle w:val="Addressess"/>
      </w:pPr>
      <w:r w:rsidRPr="00DA0EC5">
        <w:t xml:space="preserve">PO Box 618 </w:t>
      </w:r>
    </w:p>
    <w:p w:rsidR="00DA0EC5" w:rsidRPr="00DA0EC5" w:rsidRDefault="00DA0EC5" w:rsidP="006B4DFB">
      <w:pPr>
        <w:pStyle w:val="Addressess"/>
      </w:pPr>
      <w:r w:rsidRPr="00DA0EC5">
        <w:t xml:space="preserve">Bundaberg Qld 4670 </w:t>
      </w:r>
    </w:p>
    <w:p w:rsidR="00DA0EC5" w:rsidRPr="00DA0EC5" w:rsidRDefault="00DA0EC5" w:rsidP="006B4DFB">
      <w:pPr>
        <w:pStyle w:val="Addressess"/>
      </w:pPr>
      <w:r w:rsidRPr="00DA0EC5">
        <w:t xml:space="preserve">Phone: 07 4131 2702 </w:t>
      </w:r>
    </w:p>
    <w:p w:rsidR="00DA0EC5" w:rsidRPr="00DA0EC5" w:rsidRDefault="00DA0EC5" w:rsidP="006B4DFB">
      <w:pPr>
        <w:pStyle w:val="Add-Officename"/>
      </w:pPr>
      <w:r w:rsidRPr="00DA0EC5">
        <w:t xml:space="preserve">Hervey Bay office </w:t>
      </w:r>
    </w:p>
    <w:p w:rsidR="00DA0EC5" w:rsidRPr="00DA0EC5" w:rsidRDefault="00DA0EC5" w:rsidP="006B4DFB">
      <w:pPr>
        <w:pStyle w:val="Addressess"/>
      </w:pPr>
      <w:r w:rsidRPr="00DA0EC5">
        <w:t xml:space="preserve">Ground Floor, Brendan Hansen Building </w:t>
      </w:r>
    </w:p>
    <w:p w:rsidR="00DA0EC5" w:rsidRPr="00DA0EC5" w:rsidRDefault="00DA0EC5" w:rsidP="006B4DFB">
      <w:pPr>
        <w:pStyle w:val="Addressess"/>
      </w:pPr>
      <w:r w:rsidRPr="00DA0EC5">
        <w:t xml:space="preserve">50-54 Main Street </w:t>
      </w:r>
    </w:p>
    <w:p w:rsidR="00DA0EC5" w:rsidRPr="00DA0EC5" w:rsidRDefault="00DA0EC5" w:rsidP="006B4DFB">
      <w:pPr>
        <w:pStyle w:val="Addressess"/>
      </w:pPr>
      <w:r w:rsidRPr="00DA0EC5">
        <w:t xml:space="preserve">PO Box 3054 </w:t>
      </w:r>
    </w:p>
    <w:p w:rsidR="00DA0EC5" w:rsidRPr="00DA0EC5" w:rsidRDefault="00DA0EC5" w:rsidP="006B4DFB">
      <w:pPr>
        <w:pStyle w:val="Addressess"/>
      </w:pPr>
      <w:r w:rsidRPr="00DA0EC5">
        <w:t xml:space="preserve">Hervey Bay Qld 4655 </w:t>
      </w:r>
    </w:p>
    <w:p w:rsidR="00DA0EC5" w:rsidRPr="00DA0EC5" w:rsidRDefault="00DA0EC5" w:rsidP="006B4DFB">
      <w:pPr>
        <w:pStyle w:val="Addressess"/>
      </w:pPr>
      <w:r w:rsidRPr="00DA0EC5">
        <w:t xml:space="preserve">Phone: 07 4125 9352 </w:t>
      </w:r>
    </w:p>
    <w:p w:rsidR="00DA0EC5" w:rsidRPr="00DA0EC5" w:rsidRDefault="00DA0EC5" w:rsidP="006B4DFB">
      <w:pPr>
        <w:pStyle w:val="Add-Officename"/>
      </w:pPr>
      <w:r w:rsidRPr="00DA0EC5">
        <w:t xml:space="preserve">Dalby area office </w:t>
      </w:r>
    </w:p>
    <w:p w:rsidR="00DA0EC5" w:rsidRPr="00DA0EC5" w:rsidRDefault="00DA0EC5" w:rsidP="006B4DFB">
      <w:pPr>
        <w:pStyle w:val="Addressess"/>
      </w:pPr>
      <w:r w:rsidRPr="00DA0EC5">
        <w:t xml:space="preserve">30 Nicholson Street </w:t>
      </w:r>
    </w:p>
    <w:p w:rsidR="00DA0EC5" w:rsidRPr="00DA0EC5" w:rsidRDefault="00DA0EC5" w:rsidP="006B4DFB">
      <w:pPr>
        <w:pStyle w:val="Addressess"/>
      </w:pPr>
      <w:r w:rsidRPr="00DA0EC5">
        <w:t xml:space="preserve">PO Box 3 </w:t>
      </w:r>
    </w:p>
    <w:p w:rsidR="00DA0EC5" w:rsidRPr="00DA0EC5" w:rsidRDefault="00DA0EC5" w:rsidP="006B4DFB">
      <w:pPr>
        <w:pStyle w:val="Addressess"/>
      </w:pPr>
      <w:r w:rsidRPr="00DA0EC5">
        <w:t xml:space="preserve">Dalby Qld 4405 </w:t>
      </w:r>
    </w:p>
    <w:p w:rsidR="00DA0EC5" w:rsidRDefault="00DA0EC5" w:rsidP="006B4DFB">
      <w:pPr>
        <w:pStyle w:val="Addressess"/>
        <w:rPr>
          <w:rFonts w:cs="Arial"/>
        </w:rPr>
      </w:pPr>
      <w:r w:rsidRPr="00DA0EC5">
        <w:t>Phone: 07 4531 8525</w:t>
      </w:r>
    </w:p>
    <w:p w:rsidR="00DA0EC5" w:rsidRPr="00DA0EC5" w:rsidRDefault="008B7210" w:rsidP="006B4DFB">
      <w:pPr>
        <w:pStyle w:val="Add-Officename"/>
      </w:pPr>
      <w:r>
        <w:br w:type="column"/>
      </w:r>
      <w:r w:rsidR="00DA0EC5" w:rsidRPr="00DA0EC5">
        <w:t xml:space="preserve">Warwick area office </w:t>
      </w:r>
    </w:p>
    <w:p w:rsidR="00DA0EC5" w:rsidRPr="00DA0EC5" w:rsidRDefault="00DA0EC5" w:rsidP="006B4DFB">
      <w:pPr>
        <w:pStyle w:val="Addressess"/>
      </w:pPr>
      <w:r w:rsidRPr="00DA0EC5">
        <w:t xml:space="preserve">Government Building </w:t>
      </w:r>
    </w:p>
    <w:p w:rsidR="00DA0EC5" w:rsidRPr="00DA0EC5" w:rsidRDefault="00DA0EC5" w:rsidP="006B4DFB">
      <w:pPr>
        <w:pStyle w:val="Addressess"/>
      </w:pPr>
      <w:r w:rsidRPr="00DA0EC5">
        <w:t xml:space="preserve">Cnr Guy and Fitzroy Streets </w:t>
      </w:r>
    </w:p>
    <w:p w:rsidR="00DA0EC5" w:rsidRPr="00DA0EC5" w:rsidRDefault="00DA0EC5" w:rsidP="006B4DFB">
      <w:pPr>
        <w:pStyle w:val="Addressess"/>
      </w:pPr>
      <w:r w:rsidRPr="00DA0EC5">
        <w:t xml:space="preserve">PO Box 13 </w:t>
      </w:r>
    </w:p>
    <w:p w:rsidR="00DA0EC5" w:rsidRPr="00DA0EC5" w:rsidRDefault="00DA0EC5" w:rsidP="006B4DFB">
      <w:pPr>
        <w:pStyle w:val="Addressess"/>
      </w:pPr>
      <w:r w:rsidRPr="00DA0EC5">
        <w:t xml:space="preserve">Warwick Qld 4370 </w:t>
      </w:r>
    </w:p>
    <w:p w:rsidR="00DA0EC5" w:rsidRPr="00DA0EC5" w:rsidRDefault="00DA0EC5" w:rsidP="006B4DFB">
      <w:pPr>
        <w:pStyle w:val="Addressess"/>
      </w:pPr>
      <w:r w:rsidRPr="00DA0EC5">
        <w:t xml:space="preserve">Phone: 07 4667 5100 </w:t>
      </w:r>
    </w:p>
    <w:p w:rsidR="00DA0EC5" w:rsidRPr="00DA0EC5" w:rsidRDefault="00DA0EC5" w:rsidP="006B4DFB">
      <w:pPr>
        <w:pStyle w:val="Add-Regions"/>
      </w:pPr>
      <w:r w:rsidRPr="00DA0EC5">
        <w:t xml:space="preserve">Northern Service Area </w:t>
      </w:r>
    </w:p>
    <w:p w:rsidR="00DA0EC5" w:rsidRPr="00DA0EC5" w:rsidRDefault="00DA0EC5" w:rsidP="006B4DFB">
      <w:pPr>
        <w:pStyle w:val="Add-Officename"/>
      </w:pPr>
      <w:r w:rsidRPr="00DA0EC5">
        <w:t xml:space="preserve">Rockhampton office </w:t>
      </w:r>
    </w:p>
    <w:p w:rsidR="00DA0EC5" w:rsidRPr="00DA0EC5" w:rsidRDefault="00DA0EC5" w:rsidP="006B4DFB">
      <w:pPr>
        <w:pStyle w:val="Addressess"/>
      </w:pPr>
      <w:r w:rsidRPr="00DA0EC5">
        <w:t xml:space="preserve">61 Yeppoon Road </w:t>
      </w:r>
    </w:p>
    <w:p w:rsidR="00DA0EC5" w:rsidRPr="00DA0EC5" w:rsidRDefault="00DA0EC5" w:rsidP="006B4DFB">
      <w:pPr>
        <w:pStyle w:val="Addressess"/>
      </w:pPr>
      <w:r w:rsidRPr="00DA0EC5">
        <w:t xml:space="preserve">Parkhurst Qld 4701 </w:t>
      </w:r>
    </w:p>
    <w:p w:rsidR="00DA0EC5" w:rsidRPr="00DA0EC5" w:rsidRDefault="00DA0EC5" w:rsidP="006B4DFB">
      <w:pPr>
        <w:pStyle w:val="Addressess"/>
      </w:pPr>
      <w:r w:rsidRPr="00DA0EC5">
        <w:t xml:space="preserve">PO Box 822 </w:t>
      </w:r>
    </w:p>
    <w:p w:rsidR="00DA0EC5" w:rsidRPr="00DA0EC5" w:rsidRDefault="00DA0EC5" w:rsidP="006B4DFB">
      <w:pPr>
        <w:pStyle w:val="Addressess"/>
      </w:pPr>
      <w:r w:rsidRPr="00DA0EC5">
        <w:t xml:space="preserve">Rockhampton Qld 4700 </w:t>
      </w:r>
    </w:p>
    <w:p w:rsidR="00DA0EC5" w:rsidRPr="00DA0EC5" w:rsidRDefault="00DA0EC5" w:rsidP="006B4DFB">
      <w:pPr>
        <w:pStyle w:val="Addressess"/>
      </w:pPr>
      <w:r w:rsidRPr="00DA0EC5">
        <w:t xml:space="preserve">Phone: 07 4936 0510 </w:t>
      </w:r>
    </w:p>
    <w:p w:rsidR="00DA0EC5" w:rsidRPr="00DA0EC5" w:rsidRDefault="00DA0EC5" w:rsidP="006B4DFB">
      <w:pPr>
        <w:pStyle w:val="Addressess"/>
      </w:pPr>
      <w:r w:rsidRPr="00DA0EC5">
        <w:t xml:space="preserve">Email: northernsportrec@npsr.qld.gov.au </w:t>
      </w:r>
    </w:p>
    <w:p w:rsidR="00DA0EC5" w:rsidRPr="00DA0EC5" w:rsidRDefault="00DA0EC5" w:rsidP="006B4DFB">
      <w:pPr>
        <w:pStyle w:val="Add-Officename"/>
      </w:pPr>
      <w:r w:rsidRPr="00DA0EC5">
        <w:t xml:space="preserve">Emerald office </w:t>
      </w:r>
    </w:p>
    <w:p w:rsidR="00DA0EC5" w:rsidRPr="00DA0EC5" w:rsidRDefault="00DA0EC5" w:rsidP="006B4DFB">
      <w:pPr>
        <w:pStyle w:val="Addressess"/>
      </w:pPr>
      <w:r w:rsidRPr="00DA0EC5">
        <w:t xml:space="preserve">99 Hospital Road </w:t>
      </w:r>
    </w:p>
    <w:p w:rsidR="00DA0EC5" w:rsidRPr="00DA0EC5" w:rsidRDefault="00DA0EC5" w:rsidP="006B4DFB">
      <w:pPr>
        <w:pStyle w:val="Addressess"/>
      </w:pPr>
      <w:r w:rsidRPr="00DA0EC5">
        <w:t xml:space="preserve">PO Box 346 </w:t>
      </w:r>
    </w:p>
    <w:p w:rsidR="00DA0EC5" w:rsidRPr="00DA0EC5" w:rsidRDefault="00DA0EC5" w:rsidP="006B4DFB">
      <w:pPr>
        <w:pStyle w:val="Addressess"/>
      </w:pPr>
      <w:r w:rsidRPr="00DA0EC5">
        <w:t xml:space="preserve">Emerald Qld 4720 </w:t>
      </w:r>
    </w:p>
    <w:p w:rsidR="00DA0EC5" w:rsidRPr="00DA0EC5" w:rsidRDefault="00DA0EC5" w:rsidP="006B4DFB">
      <w:pPr>
        <w:pStyle w:val="Addressess"/>
      </w:pPr>
      <w:r w:rsidRPr="00DA0EC5">
        <w:t xml:space="preserve">Phone: 07 4991 0830 </w:t>
      </w:r>
    </w:p>
    <w:p w:rsidR="00DA0EC5" w:rsidRPr="00DA0EC5" w:rsidRDefault="00DA0EC5" w:rsidP="006B4DFB">
      <w:pPr>
        <w:pStyle w:val="Add-Officename"/>
      </w:pPr>
      <w:r w:rsidRPr="00DA0EC5">
        <w:t xml:space="preserve">Townsville office </w:t>
      </w:r>
    </w:p>
    <w:p w:rsidR="00DA0EC5" w:rsidRPr="00DA0EC5" w:rsidRDefault="00DA0EC5" w:rsidP="006B4DFB">
      <w:pPr>
        <w:pStyle w:val="Addressess"/>
      </w:pPr>
      <w:r w:rsidRPr="00DA0EC5">
        <w:t xml:space="preserve">Townsville Sports House </w:t>
      </w:r>
    </w:p>
    <w:p w:rsidR="00DA0EC5" w:rsidRPr="00DA0EC5" w:rsidRDefault="00DA0EC5" w:rsidP="006B4DFB">
      <w:pPr>
        <w:pStyle w:val="Addressess"/>
      </w:pPr>
      <w:r w:rsidRPr="00DA0EC5">
        <w:t xml:space="preserve">3-9 Redpath Street </w:t>
      </w:r>
    </w:p>
    <w:p w:rsidR="00DA0EC5" w:rsidRPr="00DA0EC5" w:rsidRDefault="00DA0EC5" w:rsidP="006B4DFB">
      <w:pPr>
        <w:pStyle w:val="Addressess"/>
      </w:pPr>
      <w:r w:rsidRPr="00DA0EC5">
        <w:t xml:space="preserve">North Ward Qld 4810 </w:t>
      </w:r>
    </w:p>
    <w:p w:rsidR="00DA0EC5" w:rsidRPr="00DA0EC5" w:rsidRDefault="00DA0EC5" w:rsidP="006B4DFB">
      <w:pPr>
        <w:pStyle w:val="Addressess"/>
      </w:pPr>
      <w:r w:rsidRPr="00DA0EC5">
        <w:t xml:space="preserve">PO Box 1468 </w:t>
      </w:r>
    </w:p>
    <w:p w:rsidR="00DA0EC5" w:rsidRPr="00DA0EC5" w:rsidRDefault="00DA0EC5" w:rsidP="006B4DFB">
      <w:pPr>
        <w:pStyle w:val="Addressess"/>
      </w:pPr>
      <w:r w:rsidRPr="00DA0EC5">
        <w:t xml:space="preserve">Townsville Qld 4810 </w:t>
      </w:r>
    </w:p>
    <w:p w:rsidR="00DA0EC5" w:rsidRPr="00DA0EC5" w:rsidRDefault="00DA0EC5" w:rsidP="006B4DFB">
      <w:pPr>
        <w:pStyle w:val="Addressess"/>
      </w:pPr>
      <w:r w:rsidRPr="00DA0EC5">
        <w:t xml:space="preserve">Phone: 07 4799 7010 </w:t>
      </w:r>
    </w:p>
    <w:p w:rsidR="00DA0EC5" w:rsidRPr="00DA0EC5" w:rsidRDefault="00DA0EC5" w:rsidP="006B4DFB">
      <w:pPr>
        <w:pStyle w:val="Addressess"/>
      </w:pPr>
      <w:r w:rsidRPr="00DA0EC5">
        <w:t xml:space="preserve">Mount Isa office </w:t>
      </w:r>
    </w:p>
    <w:p w:rsidR="00DA0EC5" w:rsidRPr="00DA0EC5" w:rsidRDefault="00DA0EC5" w:rsidP="006B4DFB">
      <w:pPr>
        <w:pStyle w:val="Addressess"/>
      </w:pPr>
      <w:r w:rsidRPr="00DA0EC5">
        <w:t xml:space="preserve">Suite 27 </w:t>
      </w:r>
    </w:p>
    <w:p w:rsidR="00DA0EC5" w:rsidRPr="00DA0EC5" w:rsidRDefault="00DA0EC5" w:rsidP="006B4DFB">
      <w:pPr>
        <w:pStyle w:val="Addressess"/>
      </w:pPr>
      <w:r w:rsidRPr="00DA0EC5">
        <w:t xml:space="preserve">Mount Isa House </w:t>
      </w:r>
    </w:p>
    <w:p w:rsidR="00DA0EC5" w:rsidRPr="00DA0EC5" w:rsidRDefault="00DA0EC5" w:rsidP="006B4DFB">
      <w:pPr>
        <w:pStyle w:val="Addressess"/>
      </w:pPr>
      <w:r w:rsidRPr="00DA0EC5">
        <w:t xml:space="preserve">Mary Street </w:t>
      </w:r>
    </w:p>
    <w:p w:rsidR="00DA0EC5" w:rsidRPr="00DA0EC5" w:rsidRDefault="00DA0EC5" w:rsidP="006B4DFB">
      <w:pPr>
        <w:pStyle w:val="Addressess"/>
      </w:pPr>
      <w:r w:rsidRPr="00DA0EC5">
        <w:t xml:space="preserve">Mount Isa Qld 4825 </w:t>
      </w:r>
    </w:p>
    <w:p w:rsidR="00DA0EC5" w:rsidRPr="00DA0EC5" w:rsidRDefault="00DA0EC5" w:rsidP="006B4DFB">
      <w:pPr>
        <w:pStyle w:val="Addressess"/>
      </w:pPr>
      <w:r w:rsidRPr="00DA0EC5">
        <w:t xml:space="preserve">Phone: 07 4747 2186 </w:t>
      </w:r>
    </w:p>
    <w:p w:rsidR="00DA0EC5" w:rsidRPr="00DA0EC5" w:rsidRDefault="00DA0EC5" w:rsidP="006B4DFB">
      <w:pPr>
        <w:pStyle w:val="Add-Officename"/>
      </w:pPr>
      <w:r w:rsidRPr="00DA0EC5">
        <w:t xml:space="preserve">Mackay office </w:t>
      </w:r>
    </w:p>
    <w:p w:rsidR="00DA0EC5" w:rsidRPr="00DA0EC5" w:rsidRDefault="00DA0EC5" w:rsidP="006B4DFB">
      <w:pPr>
        <w:pStyle w:val="Addressess"/>
      </w:pPr>
      <w:r w:rsidRPr="00DA0EC5">
        <w:t xml:space="preserve">Level 5 </w:t>
      </w:r>
    </w:p>
    <w:p w:rsidR="00DA0EC5" w:rsidRPr="00DA0EC5" w:rsidRDefault="00DA0EC5" w:rsidP="006B4DFB">
      <w:pPr>
        <w:pStyle w:val="Addressess"/>
      </w:pPr>
      <w:r w:rsidRPr="00DA0EC5">
        <w:t xml:space="preserve">44 Nelson Street </w:t>
      </w:r>
    </w:p>
    <w:p w:rsidR="00DA0EC5" w:rsidRPr="00DA0EC5" w:rsidRDefault="00DA0EC5" w:rsidP="006B4DFB">
      <w:pPr>
        <w:pStyle w:val="Addressess"/>
      </w:pPr>
      <w:r w:rsidRPr="00DA0EC5">
        <w:t xml:space="preserve">Mackay Qld 4740 </w:t>
      </w:r>
    </w:p>
    <w:p w:rsidR="00DA0EC5" w:rsidRPr="00DA0EC5" w:rsidRDefault="00DA0EC5" w:rsidP="006B4DFB">
      <w:pPr>
        <w:pStyle w:val="Addressess"/>
      </w:pPr>
      <w:r w:rsidRPr="00DA0EC5">
        <w:t xml:space="preserve">Phone: 07 4999 8520 </w:t>
      </w:r>
    </w:p>
    <w:p w:rsidR="00DA0EC5" w:rsidRPr="008B7210" w:rsidRDefault="008B7210" w:rsidP="008B7210">
      <w:pPr>
        <w:pStyle w:val="Add-Regions"/>
      </w:pPr>
      <w:r>
        <w:br w:type="column"/>
      </w:r>
      <w:r w:rsidR="00DA0EC5" w:rsidRPr="008B7210">
        <w:lastRenderedPageBreak/>
        <w:t xml:space="preserve">Far North Service Area </w:t>
      </w:r>
    </w:p>
    <w:p w:rsidR="00DA0EC5" w:rsidRPr="00DA0EC5" w:rsidRDefault="00DA0EC5" w:rsidP="006B4DFB">
      <w:pPr>
        <w:pStyle w:val="Add-Officename"/>
      </w:pPr>
      <w:r w:rsidRPr="00DA0EC5">
        <w:t xml:space="preserve">Cairns office </w:t>
      </w:r>
    </w:p>
    <w:p w:rsidR="00DA0EC5" w:rsidRPr="00DA0EC5" w:rsidRDefault="00DA0EC5" w:rsidP="006B4DFB">
      <w:pPr>
        <w:pStyle w:val="Addressess"/>
      </w:pPr>
      <w:r w:rsidRPr="00DA0EC5">
        <w:t xml:space="preserve">Level 2, Building 2 </w:t>
      </w:r>
    </w:p>
    <w:p w:rsidR="00DA0EC5" w:rsidRPr="00DA0EC5" w:rsidRDefault="00DA0EC5" w:rsidP="006B4DFB">
      <w:pPr>
        <w:pStyle w:val="Addressess"/>
      </w:pPr>
      <w:r w:rsidRPr="00DA0EC5">
        <w:t xml:space="preserve">William McCormack Place </w:t>
      </w:r>
    </w:p>
    <w:p w:rsidR="00DA0EC5" w:rsidRPr="00DA0EC5" w:rsidRDefault="00DA0EC5" w:rsidP="006B4DFB">
      <w:pPr>
        <w:pStyle w:val="Addressess"/>
      </w:pPr>
      <w:r w:rsidRPr="00DA0EC5">
        <w:t xml:space="preserve">5B Sheridan Street </w:t>
      </w:r>
    </w:p>
    <w:p w:rsidR="00DA0EC5" w:rsidRPr="00DA0EC5" w:rsidRDefault="00DA0EC5" w:rsidP="006B4DFB">
      <w:pPr>
        <w:pStyle w:val="Addressess"/>
      </w:pPr>
      <w:r w:rsidRPr="00DA0EC5">
        <w:t xml:space="preserve">Cairns QLD 4870 </w:t>
      </w:r>
    </w:p>
    <w:p w:rsidR="00DA0EC5" w:rsidRPr="00DA0EC5" w:rsidRDefault="00DA0EC5" w:rsidP="006B4DFB">
      <w:pPr>
        <w:pStyle w:val="Addressess"/>
      </w:pPr>
      <w:r w:rsidRPr="00DA0EC5">
        <w:t xml:space="preserve">PO Box 2494 </w:t>
      </w:r>
    </w:p>
    <w:p w:rsidR="00DA0EC5" w:rsidRPr="00DA0EC5" w:rsidRDefault="00DA0EC5" w:rsidP="006B4DFB">
      <w:pPr>
        <w:pStyle w:val="Addressess"/>
      </w:pPr>
      <w:r w:rsidRPr="00DA0EC5">
        <w:t xml:space="preserve">Cairns Qld 4870 </w:t>
      </w:r>
    </w:p>
    <w:p w:rsidR="00DA0EC5" w:rsidRPr="00DA0EC5" w:rsidRDefault="00DA0EC5" w:rsidP="006B4DFB">
      <w:pPr>
        <w:pStyle w:val="Addressess"/>
      </w:pPr>
      <w:r w:rsidRPr="00DA0EC5">
        <w:t xml:space="preserve">Phone: 07 4222 5236 </w:t>
      </w:r>
    </w:p>
    <w:p w:rsidR="00DA0EC5" w:rsidRPr="00DA0EC5" w:rsidRDefault="00DA0EC5" w:rsidP="006B4DFB">
      <w:pPr>
        <w:pStyle w:val="Addressess"/>
      </w:pPr>
      <w:r w:rsidRPr="00DA0EC5">
        <w:t xml:space="preserve">Email: srfarnorth@npsr.qld.gov.au </w:t>
      </w:r>
    </w:p>
    <w:p w:rsidR="00DA0EC5" w:rsidRPr="00DA0EC5" w:rsidRDefault="00DA0EC5" w:rsidP="006B4DFB">
      <w:pPr>
        <w:pStyle w:val="Add-Officename"/>
      </w:pPr>
      <w:r w:rsidRPr="00DA0EC5">
        <w:t xml:space="preserve">Mount Isa office </w:t>
      </w:r>
    </w:p>
    <w:p w:rsidR="00DA0EC5" w:rsidRPr="00DA0EC5" w:rsidRDefault="00DA0EC5" w:rsidP="006B4DFB">
      <w:pPr>
        <w:pStyle w:val="Addressess"/>
      </w:pPr>
      <w:r w:rsidRPr="00DA0EC5">
        <w:t xml:space="preserve">Suite 27, Mount Isa House </w:t>
      </w:r>
    </w:p>
    <w:p w:rsidR="00DA0EC5" w:rsidRPr="00DA0EC5" w:rsidRDefault="00DA0EC5" w:rsidP="006B4DFB">
      <w:pPr>
        <w:pStyle w:val="Addressess"/>
      </w:pPr>
      <w:r w:rsidRPr="00DA0EC5">
        <w:t xml:space="preserve">Mary Street </w:t>
      </w:r>
    </w:p>
    <w:p w:rsidR="00DA0EC5" w:rsidRPr="00DA0EC5" w:rsidRDefault="00DA0EC5" w:rsidP="006B4DFB">
      <w:pPr>
        <w:pStyle w:val="Addressess"/>
      </w:pPr>
      <w:r w:rsidRPr="00DA0EC5">
        <w:t xml:space="preserve">Mount Isa Qld 4825 </w:t>
      </w:r>
    </w:p>
    <w:p w:rsidR="00DA0EC5" w:rsidRPr="00DA0EC5" w:rsidRDefault="00DA0EC5" w:rsidP="006B4DFB">
      <w:pPr>
        <w:pStyle w:val="Addressess"/>
      </w:pPr>
      <w:r w:rsidRPr="00DA0EC5">
        <w:t xml:space="preserve">Phone: 07 4747 2186 </w:t>
      </w:r>
    </w:p>
    <w:p w:rsidR="00DA0EC5" w:rsidRPr="00DA0EC5" w:rsidRDefault="00DA0EC5" w:rsidP="006B4DFB">
      <w:pPr>
        <w:pStyle w:val="Add-Officename"/>
      </w:pPr>
      <w:r w:rsidRPr="00DA0EC5">
        <w:t xml:space="preserve">Mackay office </w:t>
      </w:r>
    </w:p>
    <w:p w:rsidR="00DA0EC5" w:rsidRPr="00DA0EC5" w:rsidRDefault="00DA0EC5" w:rsidP="006B4DFB">
      <w:pPr>
        <w:pStyle w:val="Addressess"/>
      </w:pPr>
      <w:r w:rsidRPr="00DA0EC5">
        <w:t xml:space="preserve">Level 5 </w:t>
      </w:r>
    </w:p>
    <w:p w:rsidR="00DA0EC5" w:rsidRPr="00DA0EC5" w:rsidRDefault="00DA0EC5" w:rsidP="006B4DFB">
      <w:pPr>
        <w:pStyle w:val="Addressess"/>
      </w:pPr>
      <w:r w:rsidRPr="00DA0EC5">
        <w:t xml:space="preserve">44 Nelson Street </w:t>
      </w:r>
    </w:p>
    <w:p w:rsidR="00DA0EC5" w:rsidRPr="00DA0EC5" w:rsidRDefault="00DA0EC5" w:rsidP="006B4DFB">
      <w:pPr>
        <w:pStyle w:val="Addressess"/>
      </w:pPr>
      <w:r w:rsidRPr="00DA0EC5">
        <w:t xml:space="preserve">Mackay Qld 4740 </w:t>
      </w:r>
    </w:p>
    <w:p w:rsidR="00DA0EC5" w:rsidRPr="00DA0EC5" w:rsidRDefault="00DA0EC5" w:rsidP="006B4DFB">
      <w:pPr>
        <w:pStyle w:val="Addressess"/>
      </w:pPr>
      <w:r w:rsidRPr="00DA0EC5">
        <w:t xml:space="preserve">Phone: (07) 4999 8520 </w:t>
      </w:r>
    </w:p>
    <w:p w:rsidR="00DA0EC5" w:rsidRPr="00DA0EC5" w:rsidRDefault="00DA0EC5" w:rsidP="00B60C00">
      <w:pPr>
        <w:pStyle w:val="Heading3"/>
        <w:rPr>
          <w:lang w:val="en-AU"/>
        </w:rPr>
      </w:pPr>
      <w:r w:rsidRPr="00DA0EC5">
        <w:rPr>
          <w:lang w:val="en-AU"/>
        </w:rPr>
        <w:t xml:space="preserve">Digital Capability and information </w:t>
      </w:r>
    </w:p>
    <w:p w:rsidR="00DA0EC5" w:rsidRPr="00DA0EC5" w:rsidRDefault="00DA0EC5" w:rsidP="005334E8">
      <w:pPr>
        <w:pStyle w:val="Add-Regions"/>
      </w:pPr>
      <w:r w:rsidRPr="00DA0EC5">
        <w:t xml:space="preserve">Digital Capability and Information </w:t>
      </w:r>
    </w:p>
    <w:p w:rsidR="00DA0EC5" w:rsidRPr="00DA0EC5" w:rsidRDefault="00DA0EC5" w:rsidP="00B60C00">
      <w:pPr>
        <w:pStyle w:val="Addressess"/>
      </w:pPr>
      <w:r w:rsidRPr="00DA0EC5">
        <w:t xml:space="preserve">140 Creek Street </w:t>
      </w:r>
    </w:p>
    <w:p w:rsidR="00DA0EC5" w:rsidRPr="00DA0EC5" w:rsidRDefault="00DA0EC5" w:rsidP="00B60C00">
      <w:pPr>
        <w:pStyle w:val="Addressess"/>
      </w:pPr>
      <w:r w:rsidRPr="00DA0EC5">
        <w:t xml:space="preserve">Brisbane Qld 4000 </w:t>
      </w:r>
    </w:p>
    <w:p w:rsidR="00DA0EC5" w:rsidRPr="00DA0EC5" w:rsidRDefault="00DA0EC5" w:rsidP="00B60C00">
      <w:pPr>
        <w:pStyle w:val="Addressess"/>
      </w:pPr>
      <w:r w:rsidRPr="00DA0EC5">
        <w:t xml:space="preserve">GPO Box 2457 </w:t>
      </w:r>
    </w:p>
    <w:p w:rsidR="00DA0EC5" w:rsidRPr="00DA0EC5" w:rsidRDefault="00DA0EC5" w:rsidP="00B60C00">
      <w:pPr>
        <w:pStyle w:val="Addressess"/>
      </w:pPr>
      <w:r w:rsidRPr="00DA0EC5">
        <w:t xml:space="preserve">Brisbane Qld 4001 </w:t>
      </w:r>
    </w:p>
    <w:p w:rsidR="00DA0EC5" w:rsidRPr="00DA0EC5" w:rsidRDefault="00DA0EC5" w:rsidP="00B60C00">
      <w:pPr>
        <w:pStyle w:val="Addressess"/>
      </w:pPr>
      <w:r w:rsidRPr="00DA0EC5">
        <w:t xml:space="preserve">Phone: 07 3719 7730 </w:t>
      </w:r>
    </w:p>
    <w:p w:rsidR="00DA0EC5" w:rsidRPr="00DA0EC5" w:rsidRDefault="00DA0EC5" w:rsidP="00B60C00">
      <w:pPr>
        <w:pStyle w:val="Addressess"/>
      </w:pPr>
      <w:r w:rsidRPr="00DA0EC5">
        <w:t xml:space="preserve">Email: oddgdts@dsiti.qld.gov.au </w:t>
      </w:r>
    </w:p>
    <w:p w:rsidR="00DA0EC5" w:rsidRPr="00DA0EC5" w:rsidRDefault="00DA0EC5" w:rsidP="005334E8">
      <w:pPr>
        <w:pStyle w:val="Add-Regions"/>
      </w:pPr>
      <w:r w:rsidRPr="00DA0EC5">
        <w:t xml:space="preserve">Queensland State Archives </w:t>
      </w:r>
    </w:p>
    <w:p w:rsidR="00DA0EC5" w:rsidRPr="00DA0EC5" w:rsidRDefault="00DA0EC5" w:rsidP="00B60C00">
      <w:pPr>
        <w:pStyle w:val="Addressess"/>
      </w:pPr>
      <w:r w:rsidRPr="00DA0EC5">
        <w:t xml:space="preserve">435 Compton Road </w:t>
      </w:r>
    </w:p>
    <w:p w:rsidR="00DA0EC5" w:rsidRPr="00DA0EC5" w:rsidRDefault="00DA0EC5" w:rsidP="00B60C00">
      <w:pPr>
        <w:pStyle w:val="Addressess"/>
      </w:pPr>
      <w:r w:rsidRPr="00DA0EC5">
        <w:t xml:space="preserve">Runcorn Qld 4113 </w:t>
      </w:r>
    </w:p>
    <w:p w:rsidR="00DA0EC5" w:rsidRPr="00DA0EC5" w:rsidRDefault="00DA0EC5" w:rsidP="00B60C00">
      <w:pPr>
        <w:pStyle w:val="Addressess"/>
      </w:pPr>
      <w:r w:rsidRPr="00DA0EC5">
        <w:t xml:space="preserve">PO Box 1397 </w:t>
      </w:r>
    </w:p>
    <w:p w:rsidR="00DA0EC5" w:rsidRPr="00DA0EC5" w:rsidRDefault="00DA0EC5" w:rsidP="00B60C00">
      <w:pPr>
        <w:pStyle w:val="Addressess"/>
      </w:pPr>
      <w:r w:rsidRPr="00DA0EC5">
        <w:t xml:space="preserve">Sunnybank Hills Qld 4109 </w:t>
      </w:r>
    </w:p>
    <w:p w:rsidR="00DA0EC5" w:rsidRPr="00DA0EC5" w:rsidRDefault="00DA0EC5" w:rsidP="00B60C00">
      <w:pPr>
        <w:pStyle w:val="Addressess"/>
      </w:pPr>
      <w:r w:rsidRPr="00DA0EC5">
        <w:t xml:space="preserve">Phone: 07 3037 6777 </w:t>
      </w:r>
    </w:p>
    <w:p w:rsidR="00DA0EC5" w:rsidRPr="00DA0EC5" w:rsidRDefault="00DA0EC5" w:rsidP="00B60C00">
      <w:pPr>
        <w:pStyle w:val="Addressess"/>
      </w:pPr>
      <w:r w:rsidRPr="00DA0EC5">
        <w:t xml:space="preserve">Email: info@archives.qld.gov.au </w:t>
      </w:r>
    </w:p>
    <w:p w:rsidR="00DA0EC5" w:rsidRPr="00DA0EC5" w:rsidRDefault="00DA0EC5" w:rsidP="005334E8">
      <w:pPr>
        <w:pStyle w:val="Add-Regions"/>
      </w:pPr>
      <w:r w:rsidRPr="00DA0EC5">
        <w:t xml:space="preserve">Smart Service Queensland </w:t>
      </w:r>
    </w:p>
    <w:p w:rsidR="00DA0EC5" w:rsidRPr="00DA0EC5" w:rsidRDefault="00DA0EC5" w:rsidP="00B60C00">
      <w:pPr>
        <w:pStyle w:val="Addressess"/>
      </w:pPr>
      <w:r w:rsidRPr="00DA0EC5">
        <w:t xml:space="preserve">310 Ann Street </w:t>
      </w:r>
    </w:p>
    <w:p w:rsidR="00DA0EC5" w:rsidRPr="00DA0EC5" w:rsidRDefault="00DA0EC5" w:rsidP="00B60C00">
      <w:pPr>
        <w:pStyle w:val="Addressess"/>
      </w:pPr>
      <w:r w:rsidRPr="00DA0EC5">
        <w:t xml:space="preserve">Brisbane Qld 4000 </w:t>
      </w:r>
    </w:p>
    <w:p w:rsidR="00DA0EC5" w:rsidRPr="00DA0EC5" w:rsidRDefault="00DA0EC5" w:rsidP="00B60C00">
      <w:pPr>
        <w:pStyle w:val="Addressess"/>
      </w:pPr>
      <w:r w:rsidRPr="00DA0EC5">
        <w:t xml:space="preserve">PO Box 10817 </w:t>
      </w:r>
    </w:p>
    <w:p w:rsidR="00DA0EC5" w:rsidRPr="00DA0EC5" w:rsidRDefault="00DA0EC5" w:rsidP="00B60C00">
      <w:pPr>
        <w:pStyle w:val="Addressess"/>
      </w:pPr>
      <w:r w:rsidRPr="00DA0EC5">
        <w:t xml:space="preserve">Brisbane Qld 4000 </w:t>
      </w:r>
    </w:p>
    <w:p w:rsidR="00DA0EC5" w:rsidRPr="00DA0EC5" w:rsidRDefault="00DA0EC5" w:rsidP="00B60C00">
      <w:pPr>
        <w:pStyle w:val="Addressess"/>
      </w:pPr>
      <w:r w:rsidRPr="00DA0EC5">
        <w:t xml:space="preserve">Phone: 13 QGOV (13 74 68) </w:t>
      </w:r>
    </w:p>
    <w:p w:rsidR="00DA0EC5" w:rsidRPr="00DA0EC5" w:rsidRDefault="00DA0EC5" w:rsidP="00B60C00">
      <w:pPr>
        <w:pStyle w:val="Addressess"/>
      </w:pPr>
      <w:r w:rsidRPr="00DA0EC5">
        <w:t xml:space="preserve">Internet: www.qld.gov.au </w:t>
      </w:r>
    </w:p>
    <w:p w:rsidR="00DA0EC5" w:rsidRPr="00DA0EC5" w:rsidRDefault="00DA0EC5" w:rsidP="005334E8">
      <w:pPr>
        <w:pStyle w:val="Add-Regions"/>
      </w:pPr>
      <w:r w:rsidRPr="00DA0EC5">
        <w:t xml:space="preserve">SSQ contact centres </w:t>
      </w:r>
    </w:p>
    <w:p w:rsidR="00DA0EC5" w:rsidRPr="00DA0EC5" w:rsidRDefault="00DA0EC5" w:rsidP="00B60C00">
      <w:pPr>
        <w:pStyle w:val="Addressess"/>
      </w:pPr>
      <w:r w:rsidRPr="00DA0EC5">
        <w:t xml:space="preserve">Garden Square Block B </w:t>
      </w:r>
    </w:p>
    <w:p w:rsidR="00DA0EC5" w:rsidRPr="00DA0EC5" w:rsidRDefault="00DA0EC5" w:rsidP="00B60C00">
      <w:pPr>
        <w:pStyle w:val="Addressess"/>
      </w:pPr>
      <w:r w:rsidRPr="00DA0EC5">
        <w:t xml:space="preserve">643 Kessels Road </w:t>
      </w:r>
    </w:p>
    <w:p w:rsidR="00DA0EC5" w:rsidRPr="00DA0EC5" w:rsidRDefault="00DA0EC5" w:rsidP="00B60C00">
      <w:pPr>
        <w:pStyle w:val="Addressess"/>
      </w:pPr>
      <w:r w:rsidRPr="00DA0EC5">
        <w:t xml:space="preserve">Upper Mt Gravatt Qld 4122 </w:t>
      </w:r>
    </w:p>
    <w:p w:rsidR="00DA0EC5" w:rsidRPr="00DA0EC5" w:rsidRDefault="00DA0EC5" w:rsidP="00B60C00">
      <w:pPr>
        <w:pStyle w:val="Addressess"/>
      </w:pPr>
      <w:r w:rsidRPr="00DA0EC5">
        <w:t xml:space="preserve">Phone: 13 QGOV (13 74 68) </w:t>
      </w:r>
    </w:p>
    <w:p w:rsidR="00DA0EC5" w:rsidRPr="00DA0EC5" w:rsidRDefault="00DA0EC5" w:rsidP="00B60C00">
      <w:pPr>
        <w:pStyle w:val="Addressess"/>
      </w:pPr>
      <w:r w:rsidRPr="00DA0EC5">
        <w:t xml:space="preserve">79 Pineapple Street </w:t>
      </w:r>
    </w:p>
    <w:p w:rsidR="00DA0EC5" w:rsidRPr="00DA0EC5" w:rsidRDefault="00DA0EC5" w:rsidP="00B60C00">
      <w:pPr>
        <w:pStyle w:val="Addressess"/>
      </w:pPr>
      <w:r w:rsidRPr="00DA0EC5">
        <w:t xml:space="preserve">Zillmere Qld 4034 </w:t>
      </w:r>
    </w:p>
    <w:p w:rsidR="00DA0EC5" w:rsidRPr="00DA0EC5" w:rsidRDefault="00DA0EC5" w:rsidP="00B60C00">
      <w:pPr>
        <w:pStyle w:val="Addressess"/>
      </w:pPr>
      <w:r w:rsidRPr="00DA0EC5">
        <w:t xml:space="preserve">Phone: 13 QGOV (13 74 68) </w:t>
      </w:r>
    </w:p>
    <w:p w:rsidR="00DA0EC5" w:rsidRPr="00DA0EC5" w:rsidRDefault="00DA0EC5" w:rsidP="005334E8">
      <w:pPr>
        <w:pStyle w:val="Add-Regions"/>
      </w:pPr>
      <w:r w:rsidRPr="00DA0EC5">
        <w:t xml:space="preserve">CITEC </w:t>
      </w:r>
    </w:p>
    <w:p w:rsidR="00DA0EC5" w:rsidRPr="00DA0EC5" w:rsidRDefault="00DA0EC5" w:rsidP="005334E8">
      <w:pPr>
        <w:pStyle w:val="Add-Officename"/>
      </w:pPr>
      <w:r w:rsidRPr="00DA0EC5">
        <w:t xml:space="preserve">Brisbane </w:t>
      </w:r>
    </w:p>
    <w:p w:rsidR="00DA0EC5" w:rsidRPr="005334E8" w:rsidRDefault="00DA0EC5" w:rsidP="005334E8">
      <w:pPr>
        <w:pStyle w:val="Addressess"/>
      </w:pPr>
      <w:r w:rsidRPr="005334E8">
        <w:t xml:space="preserve">317 Edward Street </w:t>
      </w:r>
    </w:p>
    <w:p w:rsidR="00DA0EC5" w:rsidRPr="005334E8" w:rsidRDefault="00DA0EC5" w:rsidP="005334E8">
      <w:pPr>
        <w:pStyle w:val="Addressess"/>
      </w:pPr>
      <w:r w:rsidRPr="005334E8">
        <w:t xml:space="preserve">Railway 1D </w:t>
      </w:r>
    </w:p>
    <w:p w:rsidR="00DA0EC5" w:rsidRPr="005334E8" w:rsidRDefault="00DA0EC5" w:rsidP="005334E8">
      <w:pPr>
        <w:pStyle w:val="Addressess"/>
      </w:pPr>
      <w:r w:rsidRPr="005334E8">
        <w:t xml:space="preserve">Brisbane Qld 4000 </w:t>
      </w:r>
    </w:p>
    <w:p w:rsidR="00DA0EC5" w:rsidRPr="005334E8" w:rsidRDefault="00DA0EC5" w:rsidP="005334E8">
      <w:pPr>
        <w:pStyle w:val="Addressess"/>
      </w:pPr>
      <w:r w:rsidRPr="005334E8">
        <w:t xml:space="preserve">GPO Box 2457 </w:t>
      </w:r>
    </w:p>
    <w:p w:rsidR="00DA0EC5" w:rsidRPr="005334E8" w:rsidRDefault="00DA0EC5" w:rsidP="005334E8">
      <w:pPr>
        <w:pStyle w:val="Addressess"/>
      </w:pPr>
      <w:r w:rsidRPr="005334E8">
        <w:t xml:space="preserve">Brisbane Qld 4001 </w:t>
      </w:r>
    </w:p>
    <w:p w:rsidR="00DA0EC5" w:rsidRPr="005334E8" w:rsidRDefault="00DA0EC5" w:rsidP="005334E8">
      <w:pPr>
        <w:pStyle w:val="Addressess"/>
      </w:pPr>
      <w:r w:rsidRPr="005334E8">
        <w:t xml:space="preserve">Phone: 07 3222 2555 </w:t>
      </w:r>
    </w:p>
    <w:p w:rsidR="00DA0EC5" w:rsidRPr="005334E8" w:rsidRDefault="00DA0EC5" w:rsidP="005334E8">
      <w:pPr>
        <w:pStyle w:val="Addressess"/>
      </w:pPr>
      <w:r w:rsidRPr="005334E8">
        <w:t xml:space="preserve">Email: service@citec.com.au </w:t>
      </w:r>
    </w:p>
    <w:p w:rsidR="005334E8" w:rsidRDefault="005334E8" w:rsidP="005334E8">
      <w:pPr>
        <w:pStyle w:val="Addressess"/>
      </w:pPr>
    </w:p>
    <w:p w:rsidR="00DA0EC5" w:rsidRPr="005334E8" w:rsidRDefault="00DA0EC5" w:rsidP="005334E8">
      <w:pPr>
        <w:pStyle w:val="Addressess"/>
      </w:pPr>
      <w:r w:rsidRPr="005334E8">
        <w:t xml:space="preserve">140 Creek Street </w:t>
      </w:r>
    </w:p>
    <w:p w:rsidR="00DA0EC5" w:rsidRPr="005334E8" w:rsidRDefault="00DA0EC5" w:rsidP="005334E8">
      <w:pPr>
        <w:pStyle w:val="Addressess"/>
      </w:pPr>
      <w:r w:rsidRPr="005334E8">
        <w:t xml:space="preserve">Brisbane Qld 4000 </w:t>
      </w:r>
    </w:p>
    <w:p w:rsidR="00DA0EC5" w:rsidRPr="005334E8" w:rsidRDefault="00DA0EC5" w:rsidP="005334E8">
      <w:pPr>
        <w:pStyle w:val="Addressess"/>
      </w:pPr>
      <w:r w:rsidRPr="005334E8">
        <w:t xml:space="preserve">GPO Box 2457 </w:t>
      </w:r>
    </w:p>
    <w:p w:rsidR="00DA0EC5" w:rsidRPr="005334E8" w:rsidRDefault="00DA0EC5" w:rsidP="005334E8">
      <w:pPr>
        <w:pStyle w:val="Addressess"/>
      </w:pPr>
      <w:r w:rsidRPr="005334E8">
        <w:t xml:space="preserve">Brisbane Qld 4001 </w:t>
      </w:r>
    </w:p>
    <w:p w:rsidR="00DA0EC5" w:rsidRPr="005334E8" w:rsidRDefault="00DA0EC5" w:rsidP="005334E8">
      <w:pPr>
        <w:pStyle w:val="Addressess"/>
      </w:pPr>
      <w:r w:rsidRPr="005334E8">
        <w:t xml:space="preserve">Phone: 07 3222 2555 </w:t>
      </w:r>
    </w:p>
    <w:p w:rsidR="00DA0EC5" w:rsidRPr="005334E8" w:rsidRDefault="00DA0EC5" w:rsidP="005334E8">
      <w:pPr>
        <w:pStyle w:val="Addressess"/>
      </w:pPr>
      <w:r w:rsidRPr="005334E8">
        <w:t xml:space="preserve">Email: service@citec.com.au </w:t>
      </w:r>
    </w:p>
    <w:p w:rsidR="00DA0EC5" w:rsidRPr="00DA0EC5" w:rsidRDefault="00DA0EC5" w:rsidP="005334E8">
      <w:pPr>
        <w:pStyle w:val="Add-Regions"/>
      </w:pPr>
      <w:r w:rsidRPr="00DA0EC5">
        <w:t xml:space="preserve">Queensland Shared Services </w:t>
      </w:r>
    </w:p>
    <w:p w:rsidR="00DA0EC5" w:rsidRPr="00DA0EC5" w:rsidRDefault="00DA0EC5" w:rsidP="005334E8">
      <w:pPr>
        <w:pStyle w:val="Add-Officename"/>
      </w:pPr>
      <w:r w:rsidRPr="00DA0EC5">
        <w:t xml:space="preserve">Brisbane </w:t>
      </w:r>
    </w:p>
    <w:p w:rsidR="00DA0EC5" w:rsidRPr="00DA0EC5" w:rsidRDefault="00DA0EC5" w:rsidP="005334E8">
      <w:pPr>
        <w:pStyle w:val="Addressess"/>
      </w:pPr>
      <w:r w:rsidRPr="00DA0EC5">
        <w:t xml:space="preserve">140 Creek Street </w:t>
      </w:r>
    </w:p>
    <w:p w:rsidR="00DA0EC5" w:rsidRPr="00DA0EC5" w:rsidRDefault="00DA0EC5" w:rsidP="005334E8">
      <w:pPr>
        <w:pStyle w:val="Addressess"/>
      </w:pPr>
      <w:r w:rsidRPr="00DA0EC5">
        <w:t xml:space="preserve">Brisbane Qld 4000 </w:t>
      </w:r>
    </w:p>
    <w:p w:rsidR="00DA0EC5" w:rsidRPr="00DA0EC5" w:rsidRDefault="00DA0EC5" w:rsidP="005334E8">
      <w:pPr>
        <w:pStyle w:val="Addressess"/>
      </w:pPr>
      <w:r w:rsidRPr="00DA0EC5">
        <w:t xml:space="preserve">PO Box 474 </w:t>
      </w:r>
    </w:p>
    <w:p w:rsidR="00DA0EC5" w:rsidRPr="00DA0EC5" w:rsidRDefault="00DA0EC5" w:rsidP="005334E8">
      <w:pPr>
        <w:pStyle w:val="Addressess"/>
      </w:pPr>
      <w:r w:rsidRPr="00DA0EC5">
        <w:t xml:space="preserve">Brisbane Qld 4000 </w:t>
      </w:r>
    </w:p>
    <w:p w:rsidR="00DA0EC5" w:rsidRPr="00DA0EC5" w:rsidRDefault="00DA0EC5" w:rsidP="005334E8">
      <w:pPr>
        <w:pStyle w:val="Addressess"/>
      </w:pPr>
      <w:r w:rsidRPr="00DA0EC5">
        <w:t xml:space="preserve">Phone: 07 3222 2400 </w:t>
      </w:r>
    </w:p>
    <w:p w:rsidR="00DA0EC5" w:rsidRPr="00DA0EC5" w:rsidRDefault="00DA0EC5" w:rsidP="005334E8">
      <w:pPr>
        <w:pStyle w:val="Add-Officename"/>
      </w:pPr>
      <w:r w:rsidRPr="00DA0EC5">
        <w:t xml:space="preserve">Self Service Centre </w:t>
      </w:r>
    </w:p>
    <w:p w:rsidR="00DA0EC5" w:rsidRPr="00DA0EC5" w:rsidRDefault="00DA0EC5" w:rsidP="005334E8">
      <w:pPr>
        <w:pStyle w:val="Addressess"/>
      </w:pPr>
      <w:r w:rsidRPr="00DA0EC5">
        <w:t xml:space="preserve">411 Vulture Street </w:t>
      </w:r>
    </w:p>
    <w:p w:rsidR="00DA0EC5" w:rsidRPr="00DA0EC5" w:rsidRDefault="00DA0EC5" w:rsidP="005334E8">
      <w:pPr>
        <w:pStyle w:val="Addressess"/>
      </w:pPr>
      <w:r w:rsidRPr="00DA0EC5">
        <w:t xml:space="preserve">Woolloongabba Qld 4102 </w:t>
      </w:r>
    </w:p>
    <w:p w:rsidR="00DA0EC5" w:rsidRPr="00DA0EC5" w:rsidRDefault="00DA0EC5" w:rsidP="005334E8">
      <w:pPr>
        <w:pStyle w:val="Addressess"/>
      </w:pPr>
      <w:r w:rsidRPr="00DA0EC5">
        <w:t xml:space="preserve">Brisbane Qld 4102 </w:t>
      </w:r>
    </w:p>
    <w:p w:rsidR="00DA0EC5" w:rsidRPr="00DA0EC5" w:rsidRDefault="00DA0EC5" w:rsidP="005334E8">
      <w:pPr>
        <w:pStyle w:val="Addressess"/>
      </w:pPr>
      <w:r w:rsidRPr="00DA0EC5">
        <w:t xml:space="preserve">PO Box 173 </w:t>
      </w:r>
    </w:p>
    <w:p w:rsidR="00DA0EC5" w:rsidRPr="00DA0EC5" w:rsidRDefault="00DA0EC5" w:rsidP="005334E8">
      <w:pPr>
        <w:pStyle w:val="Addressess"/>
      </w:pPr>
      <w:r w:rsidRPr="00DA0EC5">
        <w:t xml:space="preserve">Brisbane Qld 4000 </w:t>
      </w:r>
    </w:p>
    <w:p w:rsidR="00DA0EC5" w:rsidRPr="00DA0EC5" w:rsidRDefault="00DA0EC5" w:rsidP="005334E8">
      <w:pPr>
        <w:pStyle w:val="Addressess"/>
      </w:pPr>
      <w:r w:rsidRPr="00DA0EC5">
        <w:t xml:space="preserve">Phone: 07 3222 2400 </w:t>
      </w:r>
    </w:p>
    <w:p w:rsidR="00DA0EC5" w:rsidRPr="005334E8" w:rsidRDefault="00DA0EC5" w:rsidP="005334E8">
      <w:pPr>
        <w:pStyle w:val="Addressess"/>
      </w:pPr>
      <w:r w:rsidRPr="005334E8">
        <w:t xml:space="preserve">Self Service Centre </w:t>
      </w:r>
    </w:p>
    <w:p w:rsidR="00DA0EC5" w:rsidRPr="00DA0EC5" w:rsidRDefault="00DA0EC5" w:rsidP="005334E8">
      <w:pPr>
        <w:pStyle w:val="Add-Regions"/>
      </w:pPr>
      <w:r w:rsidRPr="00DA0EC5">
        <w:t xml:space="preserve">Regional </w:t>
      </w:r>
    </w:p>
    <w:p w:rsidR="00DA0EC5" w:rsidRPr="00DA0EC5" w:rsidRDefault="00DA0EC5" w:rsidP="005334E8">
      <w:pPr>
        <w:pStyle w:val="Add-Officename"/>
      </w:pPr>
      <w:r w:rsidRPr="00DA0EC5">
        <w:t xml:space="preserve">Cairns </w:t>
      </w:r>
    </w:p>
    <w:p w:rsidR="00DA0EC5" w:rsidRPr="005334E8" w:rsidRDefault="00DA0EC5" w:rsidP="005334E8">
      <w:pPr>
        <w:pStyle w:val="Addressess"/>
      </w:pPr>
      <w:r w:rsidRPr="005334E8">
        <w:t xml:space="preserve">Level 4, 5B Sheridan Street </w:t>
      </w:r>
    </w:p>
    <w:p w:rsidR="00DA0EC5" w:rsidRPr="005334E8" w:rsidRDefault="00DA0EC5" w:rsidP="005334E8">
      <w:pPr>
        <w:pStyle w:val="Addressess"/>
      </w:pPr>
      <w:r w:rsidRPr="005334E8">
        <w:t xml:space="preserve">William McCormack Place </w:t>
      </w:r>
    </w:p>
    <w:p w:rsidR="00DA0EC5" w:rsidRPr="005334E8" w:rsidRDefault="00DA0EC5" w:rsidP="005334E8">
      <w:pPr>
        <w:pStyle w:val="Addressess"/>
      </w:pPr>
      <w:r w:rsidRPr="005334E8">
        <w:t xml:space="preserve">PO Box 2758 </w:t>
      </w:r>
    </w:p>
    <w:p w:rsidR="00DA0EC5" w:rsidRPr="005334E8" w:rsidRDefault="00DA0EC5" w:rsidP="005334E8">
      <w:pPr>
        <w:pStyle w:val="Addressess"/>
      </w:pPr>
      <w:r w:rsidRPr="005334E8">
        <w:t xml:space="preserve">Cairns Qld 4870 </w:t>
      </w:r>
    </w:p>
    <w:p w:rsidR="00DA0EC5" w:rsidRPr="005334E8" w:rsidRDefault="00DA0EC5" w:rsidP="005334E8">
      <w:pPr>
        <w:pStyle w:val="Addressess"/>
      </w:pPr>
      <w:r w:rsidRPr="005334E8">
        <w:t xml:space="preserve">Phone: 07 3222 2400 </w:t>
      </w:r>
    </w:p>
    <w:p w:rsidR="00DA0EC5" w:rsidRPr="005334E8" w:rsidRDefault="00DA0EC5" w:rsidP="005334E8">
      <w:pPr>
        <w:pStyle w:val="Addressess"/>
      </w:pPr>
      <w:r w:rsidRPr="005334E8">
        <w:t xml:space="preserve">Self Service Centre </w:t>
      </w:r>
    </w:p>
    <w:p w:rsidR="00DA0EC5" w:rsidRPr="00DA0EC5" w:rsidRDefault="00DA0EC5" w:rsidP="005334E8">
      <w:pPr>
        <w:pStyle w:val="Add-Officename"/>
      </w:pPr>
      <w:r w:rsidRPr="00DA0EC5">
        <w:t xml:space="preserve">Gympie </w:t>
      </w:r>
    </w:p>
    <w:p w:rsidR="00DA0EC5" w:rsidRPr="00DA0EC5" w:rsidRDefault="00DA0EC5" w:rsidP="005334E8">
      <w:pPr>
        <w:pStyle w:val="Addressess"/>
      </w:pPr>
      <w:r w:rsidRPr="00DA0EC5">
        <w:t xml:space="preserve">Corner Louisa Street and Cartwright Road </w:t>
      </w:r>
    </w:p>
    <w:p w:rsidR="00DA0EC5" w:rsidRPr="00DA0EC5" w:rsidRDefault="00DA0EC5" w:rsidP="005334E8">
      <w:pPr>
        <w:pStyle w:val="Addressess"/>
      </w:pPr>
      <w:r w:rsidRPr="00DA0EC5">
        <w:t xml:space="preserve">Gympie Qld 4570 </w:t>
      </w:r>
    </w:p>
    <w:p w:rsidR="00DA0EC5" w:rsidRPr="00DA0EC5" w:rsidRDefault="00DA0EC5" w:rsidP="005334E8">
      <w:pPr>
        <w:pStyle w:val="Addressess"/>
      </w:pPr>
      <w:r w:rsidRPr="00DA0EC5">
        <w:t xml:space="preserve">PO Box 395 </w:t>
      </w:r>
    </w:p>
    <w:p w:rsidR="00DA0EC5" w:rsidRPr="00DA0EC5" w:rsidRDefault="00DA0EC5" w:rsidP="005334E8">
      <w:pPr>
        <w:pStyle w:val="Addressess"/>
      </w:pPr>
      <w:r w:rsidRPr="00DA0EC5">
        <w:t xml:space="preserve">Phone: 07 3222 2400 </w:t>
      </w:r>
    </w:p>
    <w:p w:rsidR="00DA0EC5" w:rsidRPr="00DA0EC5" w:rsidRDefault="00DA0EC5" w:rsidP="005334E8">
      <w:pPr>
        <w:pStyle w:val="Addressess"/>
        <w:rPr>
          <w:rFonts w:ascii="MetaNormalLF-Italic" w:hAnsi="MetaNormalLF-Italic" w:cs="MetaNormalLF-Italic"/>
        </w:rPr>
      </w:pPr>
      <w:r w:rsidRPr="00DA0EC5">
        <w:rPr>
          <w:rFonts w:ascii="MetaNormalLF-Italic" w:hAnsi="MetaNormalLF-Italic" w:cs="MetaNormalLF-Italic"/>
        </w:rPr>
        <w:t xml:space="preserve">Self Service Centre </w:t>
      </w:r>
    </w:p>
    <w:p w:rsidR="00DA0EC5" w:rsidRPr="00DA0EC5" w:rsidRDefault="00DA0EC5" w:rsidP="005334E8">
      <w:pPr>
        <w:pStyle w:val="Add-Officename"/>
      </w:pPr>
      <w:r w:rsidRPr="00DA0EC5">
        <w:t xml:space="preserve">Maroochydore </w:t>
      </w:r>
    </w:p>
    <w:p w:rsidR="00DA0EC5" w:rsidRPr="00DA0EC5" w:rsidRDefault="00DA0EC5" w:rsidP="005334E8">
      <w:pPr>
        <w:pStyle w:val="Addressess"/>
      </w:pPr>
      <w:r w:rsidRPr="00DA0EC5">
        <w:t xml:space="preserve">Queensland Government Service Centre Ground Floor, 12 First Avenue </w:t>
      </w:r>
    </w:p>
    <w:p w:rsidR="00DA0EC5" w:rsidRPr="00DA0EC5" w:rsidRDefault="00DA0EC5" w:rsidP="005334E8">
      <w:pPr>
        <w:pStyle w:val="Addressess"/>
      </w:pPr>
      <w:r w:rsidRPr="00DA0EC5">
        <w:t xml:space="preserve">PO Box 5665 </w:t>
      </w:r>
    </w:p>
    <w:p w:rsidR="00DA0EC5" w:rsidRPr="00DA0EC5" w:rsidRDefault="00DA0EC5" w:rsidP="005334E8">
      <w:pPr>
        <w:pStyle w:val="Addressess"/>
      </w:pPr>
      <w:r w:rsidRPr="00DA0EC5">
        <w:t xml:space="preserve">Maroochydore Qld 4558 </w:t>
      </w:r>
    </w:p>
    <w:p w:rsidR="00DA0EC5" w:rsidRPr="00DA0EC5" w:rsidRDefault="00DA0EC5" w:rsidP="005334E8">
      <w:pPr>
        <w:pStyle w:val="Addressess"/>
      </w:pPr>
      <w:r w:rsidRPr="00DA0EC5">
        <w:t xml:space="preserve">Phone: 07 3222 2400 </w:t>
      </w:r>
    </w:p>
    <w:p w:rsidR="00DA0EC5" w:rsidRPr="00DA0EC5" w:rsidRDefault="00DA0EC5" w:rsidP="005334E8">
      <w:pPr>
        <w:pStyle w:val="Addressess"/>
        <w:rPr>
          <w:rFonts w:ascii="MetaNormalLF-Italic" w:hAnsi="MetaNormalLF-Italic" w:cs="MetaNormalLF-Italic"/>
        </w:rPr>
      </w:pPr>
      <w:r w:rsidRPr="00DA0EC5">
        <w:rPr>
          <w:rFonts w:ascii="MetaNormalLF-Italic" w:hAnsi="MetaNormalLF-Italic" w:cs="MetaNormalLF-Italic"/>
        </w:rPr>
        <w:t xml:space="preserve">Self Service Centre </w:t>
      </w:r>
    </w:p>
    <w:p w:rsidR="00DA0EC5" w:rsidRPr="00DA0EC5" w:rsidRDefault="00DA0EC5" w:rsidP="005334E8">
      <w:pPr>
        <w:pStyle w:val="Add-Officename"/>
      </w:pPr>
      <w:r w:rsidRPr="00DA0EC5">
        <w:t xml:space="preserve">Robina </w:t>
      </w:r>
    </w:p>
    <w:p w:rsidR="00DA0EC5" w:rsidRPr="00DA0EC5" w:rsidRDefault="00DA0EC5" w:rsidP="005334E8">
      <w:pPr>
        <w:pStyle w:val="Addressess"/>
      </w:pPr>
      <w:r w:rsidRPr="00DA0EC5">
        <w:t xml:space="preserve">Corner Christine Avenue and Scottsdale Street </w:t>
      </w:r>
    </w:p>
    <w:p w:rsidR="00DA0EC5" w:rsidRPr="00DA0EC5" w:rsidRDefault="00DA0EC5" w:rsidP="005334E8">
      <w:pPr>
        <w:pStyle w:val="Addressess"/>
      </w:pPr>
      <w:r w:rsidRPr="00DA0EC5">
        <w:t xml:space="preserve">Robina Qld 4226 </w:t>
      </w:r>
    </w:p>
    <w:p w:rsidR="00DA0EC5" w:rsidRPr="00DA0EC5" w:rsidRDefault="00DA0EC5" w:rsidP="005334E8">
      <w:pPr>
        <w:pStyle w:val="Addressess"/>
      </w:pPr>
      <w:r w:rsidRPr="00DA0EC5">
        <w:t xml:space="preserve">PO Box 4417 </w:t>
      </w:r>
    </w:p>
    <w:p w:rsidR="00DA0EC5" w:rsidRPr="00DA0EC5" w:rsidRDefault="00DA0EC5" w:rsidP="005334E8">
      <w:pPr>
        <w:pStyle w:val="Addressess"/>
      </w:pPr>
      <w:r w:rsidRPr="00DA0EC5">
        <w:t xml:space="preserve">Robina Town Centre, Qld 4230 </w:t>
      </w:r>
    </w:p>
    <w:p w:rsidR="00DA0EC5" w:rsidRPr="00DA0EC5" w:rsidRDefault="00DA0EC5" w:rsidP="005334E8">
      <w:pPr>
        <w:pStyle w:val="Addressess"/>
      </w:pPr>
      <w:r w:rsidRPr="00DA0EC5">
        <w:t xml:space="preserve">Phone: 07 3222 2400 </w:t>
      </w:r>
    </w:p>
    <w:p w:rsidR="00DA0EC5" w:rsidRPr="00DA0EC5" w:rsidRDefault="00DA0EC5" w:rsidP="005334E8">
      <w:pPr>
        <w:pStyle w:val="Addressess"/>
        <w:rPr>
          <w:rFonts w:ascii="MetaNormalLF-Italic" w:hAnsi="MetaNormalLF-Italic" w:cs="MetaNormalLF-Italic"/>
        </w:rPr>
      </w:pPr>
      <w:r w:rsidRPr="00DA0EC5">
        <w:rPr>
          <w:rFonts w:ascii="MetaNormalLF-Italic" w:hAnsi="MetaNormalLF-Italic" w:cs="MetaNormalLF-Italic"/>
        </w:rPr>
        <w:t xml:space="preserve">Self Service Centre </w:t>
      </w:r>
    </w:p>
    <w:p w:rsidR="00DA0EC5" w:rsidRPr="00DA0EC5" w:rsidRDefault="00DA0EC5" w:rsidP="005334E8">
      <w:pPr>
        <w:pStyle w:val="Add-Officename"/>
      </w:pPr>
      <w:r w:rsidRPr="00DA0EC5">
        <w:t xml:space="preserve">Rockhampton </w:t>
      </w:r>
    </w:p>
    <w:p w:rsidR="00DA0EC5" w:rsidRPr="00DA0EC5" w:rsidRDefault="00DA0EC5" w:rsidP="005334E8">
      <w:pPr>
        <w:pStyle w:val="Addressess"/>
      </w:pPr>
      <w:r w:rsidRPr="00DA0EC5">
        <w:t xml:space="preserve">80–82 Denham Street </w:t>
      </w:r>
    </w:p>
    <w:p w:rsidR="00DA0EC5" w:rsidRPr="00DA0EC5" w:rsidRDefault="00DA0EC5" w:rsidP="005334E8">
      <w:pPr>
        <w:pStyle w:val="Addressess"/>
      </w:pPr>
      <w:r w:rsidRPr="00DA0EC5">
        <w:t xml:space="preserve">Rockhampton Qld 4700 </w:t>
      </w:r>
    </w:p>
    <w:p w:rsidR="00DA0EC5" w:rsidRPr="00DA0EC5" w:rsidRDefault="00DA0EC5" w:rsidP="005334E8">
      <w:pPr>
        <w:pStyle w:val="Addressess"/>
      </w:pPr>
      <w:r w:rsidRPr="00DA0EC5">
        <w:t xml:space="preserve">Phone: 07 3222 2400 </w:t>
      </w:r>
    </w:p>
    <w:p w:rsidR="00DA0EC5" w:rsidRPr="00DA0EC5" w:rsidRDefault="00DA0EC5" w:rsidP="005334E8">
      <w:pPr>
        <w:pStyle w:val="Addressess"/>
        <w:rPr>
          <w:rFonts w:ascii="MetaNormalLF-Italic" w:hAnsi="MetaNormalLF-Italic" w:cs="MetaNormalLF-Italic"/>
        </w:rPr>
      </w:pPr>
      <w:r w:rsidRPr="00DA0EC5">
        <w:rPr>
          <w:rFonts w:ascii="MetaNormalLF-Italic" w:hAnsi="MetaNormalLF-Italic" w:cs="MetaNormalLF-Italic"/>
        </w:rPr>
        <w:t xml:space="preserve">Self Service Centre </w:t>
      </w:r>
    </w:p>
    <w:p w:rsidR="00DA0EC5" w:rsidRPr="00DA0EC5" w:rsidRDefault="00DA0EC5" w:rsidP="005334E8">
      <w:pPr>
        <w:pStyle w:val="Add-Officename"/>
      </w:pPr>
      <w:r w:rsidRPr="00DA0EC5">
        <w:t xml:space="preserve">Toowoomba </w:t>
      </w:r>
    </w:p>
    <w:p w:rsidR="00DA0EC5" w:rsidRPr="00DA0EC5" w:rsidRDefault="00DA0EC5" w:rsidP="005334E8">
      <w:pPr>
        <w:pStyle w:val="Addressess"/>
      </w:pPr>
      <w:r w:rsidRPr="00DA0EC5">
        <w:t xml:space="preserve">532 Ruthven Street </w:t>
      </w:r>
    </w:p>
    <w:p w:rsidR="00DA0EC5" w:rsidRPr="00DA0EC5" w:rsidRDefault="00DA0EC5" w:rsidP="005334E8">
      <w:pPr>
        <w:pStyle w:val="Addressess"/>
      </w:pPr>
      <w:r w:rsidRPr="00DA0EC5">
        <w:t xml:space="preserve">Toowoomba Qld 4350 </w:t>
      </w:r>
    </w:p>
    <w:p w:rsidR="00DA0EC5" w:rsidRPr="00DA0EC5" w:rsidRDefault="00DA0EC5" w:rsidP="005334E8">
      <w:pPr>
        <w:pStyle w:val="Addressess"/>
      </w:pPr>
      <w:r w:rsidRPr="00DA0EC5">
        <w:t xml:space="preserve">PO Box 1848 </w:t>
      </w:r>
    </w:p>
    <w:p w:rsidR="00DA0EC5" w:rsidRPr="00DA0EC5" w:rsidRDefault="00DA0EC5" w:rsidP="005334E8">
      <w:pPr>
        <w:pStyle w:val="Addressess"/>
      </w:pPr>
      <w:r w:rsidRPr="00DA0EC5">
        <w:t xml:space="preserve">Phone: 07 3222 2400 </w:t>
      </w:r>
    </w:p>
    <w:p w:rsidR="00DA0EC5" w:rsidRPr="00DA0EC5" w:rsidRDefault="00DA0EC5" w:rsidP="005334E8">
      <w:pPr>
        <w:pStyle w:val="Addressess"/>
        <w:rPr>
          <w:rFonts w:ascii="MetaNormalLF-Italic" w:hAnsi="MetaNormalLF-Italic" w:cs="MetaNormalLF-Italic"/>
        </w:rPr>
      </w:pPr>
      <w:r w:rsidRPr="00DA0EC5">
        <w:rPr>
          <w:rFonts w:ascii="MetaNormalLF-Italic" w:hAnsi="MetaNormalLF-Italic" w:cs="MetaNormalLF-Italic"/>
        </w:rPr>
        <w:t xml:space="preserve">Self Service Centre </w:t>
      </w:r>
    </w:p>
    <w:p w:rsidR="00DA0EC5" w:rsidRPr="00DA0EC5" w:rsidRDefault="00DA0EC5" w:rsidP="005334E8">
      <w:pPr>
        <w:pStyle w:val="Add-Officename"/>
      </w:pPr>
      <w:r w:rsidRPr="00DA0EC5">
        <w:t xml:space="preserve">Townsville </w:t>
      </w:r>
    </w:p>
    <w:p w:rsidR="00DA0EC5" w:rsidRPr="00DA0EC5" w:rsidRDefault="00DA0EC5" w:rsidP="005334E8">
      <w:pPr>
        <w:pStyle w:val="Addressess"/>
      </w:pPr>
      <w:r w:rsidRPr="00DA0EC5">
        <w:t xml:space="preserve">Level 4, 187 Stanley Street </w:t>
      </w:r>
    </w:p>
    <w:p w:rsidR="00DA0EC5" w:rsidRPr="00DA0EC5" w:rsidRDefault="00DA0EC5" w:rsidP="005334E8">
      <w:pPr>
        <w:pStyle w:val="Addressess"/>
      </w:pPr>
      <w:r w:rsidRPr="00DA0EC5">
        <w:t xml:space="preserve">Townsville Qld 4810 </w:t>
      </w:r>
    </w:p>
    <w:p w:rsidR="00DA0EC5" w:rsidRPr="00DA0EC5" w:rsidRDefault="00DA0EC5" w:rsidP="005334E8">
      <w:pPr>
        <w:pStyle w:val="Addressess"/>
      </w:pPr>
      <w:r w:rsidRPr="00DA0EC5">
        <w:t xml:space="preserve">PO Box 1408 </w:t>
      </w:r>
    </w:p>
    <w:p w:rsidR="00DA0EC5" w:rsidRPr="00DA0EC5" w:rsidRDefault="00DA0EC5" w:rsidP="005334E8">
      <w:pPr>
        <w:pStyle w:val="Addressess"/>
      </w:pPr>
      <w:r w:rsidRPr="00DA0EC5">
        <w:t xml:space="preserve">Phone: 07 3222 2400 </w:t>
      </w:r>
    </w:p>
    <w:p w:rsidR="00DA0EC5" w:rsidRDefault="00DA0EC5" w:rsidP="005334E8">
      <w:pPr>
        <w:pStyle w:val="Addressess"/>
        <w:rPr>
          <w:rFonts w:ascii="MetaNormalLF-Italic" w:hAnsi="MetaNormalLF-Italic" w:cs="MetaNormalLF-Italic"/>
        </w:rPr>
      </w:pPr>
      <w:r w:rsidRPr="00DA0EC5">
        <w:rPr>
          <w:rFonts w:ascii="MetaNormalLF-Italic" w:hAnsi="MetaNormalLF-Italic" w:cs="MetaNormalLF-Italic"/>
        </w:rPr>
        <w:t>Self Service Centre</w:t>
      </w:r>
    </w:p>
    <w:p w:rsidR="00DA0EC5" w:rsidRDefault="008B7210" w:rsidP="005334E8">
      <w:pPr>
        <w:pStyle w:val="Heading3"/>
      </w:pPr>
      <w:r>
        <w:br w:type="column"/>
      </w:r>
      <w:r w:rsidR="00DA0EC5">
        <w:lastRenderedPageBreak/>
        <w:t xml:space="preserve">Other Departmental Offices </w:t>
      </w:r>
    </w:p>
    <w:p w:rsidR="00DA0EC5" w:rsidRDefault="00DA0EC5" w:rsidP="005334E8">
      <w:pPr>
        <w:pStyle w:val="Add-Regions"/>
      </w:pPr>
      <w:r>
        <w:t xml:space="preserve">Building Legislation and Policy </w:t>
      </w:r>
    </w:p>
    <w:p w:rsidR="00DA0EC5" w:rsidRDefault="00DA0EC5" w:rsidP="005334E8">
      <w:pPr>
        <w:pStyle w:val="Addressess"/>
      </w:pPr>
      <w:r>
        <w:t xml:space="preserve">Level 7, 63 George Street </w:t>
      </w:r>
    </w:p>
    <w:p w:rsidR="00DA0EC5" w:rsidRDefault="00DA0EC5" w:rsidP="005334E8">
      <w:pPr>
        <w:pStyle w:val="Addressess"/>
      </w:pPr>
      <w:r>
        <w:t xml:space="preserve">GPO Box 2457 </w:t>
      </w:r>
    </w:p>
    <w:p w:rsidR="00DA0EC5" w:rsidRDefault="00DA0EC5" w:rsidP="005334E8">
      <w:pPr>
        <w:pStyle w:val="Addressess"/>
      </w:pPr>
      <w:r>
        <w:t xml:space="preserve">Brisbane Qld 4001 </w:t>
      </w:r>
    </w:p>
    <w:p w:rsidR="00DA0EC5" w:rsidRDefault="00DA0EC5" w:rsidP="005334E8">
      <w:pPr>
        <w:pStyle w:val="Addressess"/>
      </w:pPr>
      <w:r>
        <w:t xml:space="preserve">Phone: 07 3008 2502 </w:t>
      </w:r>
    </w:p>
    <w:p w:rsidR="00DA0EC5" w:rsidRDefault="00DA0EC5" w:rsidP="005334E8">
      <w:pPr>
        <w:pStyle w:val="Addressess"/>
      </w:pPr>
      <w:r>
        <w:t xml:space="preserve">Email: OADG.BLP@hpw.qld.gov.au </w:t>
      </w:r>
    </w:p>
    <w:p w:rsidR="00DA0EC5" w:rsidRDefault="00DA0EC5" w:rsidP="005334E8">
      <w:pPr>
        <w:pStyle w:val="Add-Regions"/>
      </w:pPr>
      <w:r>
        <w:t xml:space="preserve">Development Tribunals </w:t>
      </w:r>
    </w:p>
    <w:p w:rsidR="00DA0EC5" w:rsidRDefault="00DA0EC5" w:rsidP="005334E8">
      <w:pPr>
        <w:pStyle w:val="Addressess"/>
      </w:pPr>
      <w:r>
        <w:t xml:space="preserve">Level 16, 41 George Street </w:t>
      </w:r>
    </w:p>
    <w:p w:rsidR="00DA0EC5" w:rsidRDefault="00DA0EC5" w:rsidP="005334E8">
      <w:pPr>
        <w:pStyle w:val="Addressess"/>
      </w:pPr>
      <w:r>
        <w:t xml:space="preserve">GPO Box 2457 </w:t>
      </w:r>
    </w:p>
    <w:p w:rsidR="00DA0EC5" w:rsidRDefault="00DA0EC5" w:rsidP="005334E8">
      <w:pPr>
        <w:pStyle w:val="Addressess"/>
      </w:pPr>
      <w:r>
        <w:t xml:space="preserve">Brisbane Qld 4001 </w:t>
      </w:r>
    </w:p>
    <w:p w:rsidR="00DA0EC5" w:rsidRDefault="00DA0EC5" w:rsidP="005334E8">
      <w:pPr>
        <w:pStyle w:val="Addressess"/>
      </w:pPr>
      <w:r>
        <w:t xml:space="preserve">Phone: 1800 804 833 </w:t>
      </w:r>
    </w:p>
    <w:p w:rsidR="00DA0EC5" w:rsidRDefault="00DA0EC5" w:rsidP="005334E8">
      <w:pPr>
        <w:pStyle w:val="Addressess"/>
      </w:pPr>
      <w:r>
        <w:t xml:space="preserve">Email: registrar@qld.gov.au </w:t>
      </w:r>
    </w:p>
    <w:p w:rsidR="00DA0EC5" w:rsidRDefault="00DA0EC5" w:rsidP="005334E8">
      <w:pPr>
        <w:pStyle w:val="Add-Regions"/>
      </w:pPr>
      <w:r>
        <w:t xml:space="preserve">Prequalification (PQC) System </w:t>
      </w:r>
    </w:p>
    <w:p w:rsidR="00DA0EC5" w:rsidRDefault="00DA0EC5" w:rsidP="005334E8">
      <w:pPr>
        <w:pStyle w:val="Addressess"/>
      </w:pPr>
      <w:r>
        <w:t xml:space="preserve">Level 16, 41 George Street </w:t>
      </w:r>
    </w:p>
    <w:p w:rsidR="00DA0EC5" w:rsidRDefault="00DA0EC5" w:rsidP="005334E8">
      <w:pPr>
        <w:pStyle w:val="Addressess"/>
      </w:pPr>
      <w:r>
        <w:t xml:space="preserve">GPO Box 2457 </w:t>
      </w:r>
    </w:p>
    <w:p w:rsidR="00DA0EC5" w:rsidRDefault="00DA0EC5" w:rsidP="005334E8">
      <w:pPr>
        <w:pStyle w:val="Addressess"/>
      </w:pPr>
      <w:r>
        <w:t xml:space="preserve">Brisbane Qld 4001 </w:t>
      </w:r>
    </w:p>
    <w:p w:rsidR="00DA0EC5" w:rsidRDefault="00DA0EC5" w:rsidP="005334E8">
      <w:pPr>
        <w:pStyle w:val="Addressess"/>
      </w:pPr>
      <w:r>
        <w:t xml:space="preserve">Phone: 1800 072 621 </w:t>
      </w:r>
    </w:p>
    <w:p w:rsidR="00DA0EC5" w:rsidRDefault="00DA0EC5" w:rsidP="005334E8">
      <w:pPr>
        <w:pStyle w:val="Addressess"/>
      </w:pPr>
      <w:r>
        <w:t xml:space="preserve">Email: pqcregistrar@hpw.qld.gov.au </w:t>
      </w:r>
    </w:p>
    <w:p w:rsidR="00DA0EC5" w:rsidRDefault="00DA0EC5" w:rsidP="005334E8">
      <w:pPr>
        <w:pStyle w:val="Add-Regions"/>
      </w:pPr>
      <w:r>
        <w:t xml:space="preserve">QFleet </w:t>
      </w:r>
    </w:p>
    <w:p w:rsidR="00DA0EC5" w:rsidRDefault="00DA0EC5" w:rsidP="005334E8">
      <w:pPr>
        <w:pStyle w:val="Add-Officename"/>
      </w:pPr>
      <w:r>
        <w:t xml:space="preserve">Head Office </w:t>
      </w:r>
    </w:p>
    <w:p w:rsidR="00DA0EC5" w:rsidRDefault="00DA0EC5" w:rsidP="005334E8">
      <w:pPr>
        <w:pStyle w:val="Addressess"/>
      </w:pPr>
      <w:r>
        <w:t xml:space="preserve">Mezzanine Level, 60 Albert Street </w:t>
      </w:r>
    </w:p>
    <w:p w:rsidR="00DA0EC5" w:rsidRDefault="00DA0EC5" w:rsidP="005334E8">
      <w:pPr>
        <w:pStyle w:val="Addressess"/>
      </w:pPr>
      <w:r>
        <w:t xml:space="preserve">GPO Box 293 </w:t>
      </w:r>
    </w:p>
    <w:p w:rsidR="00DA0EC5" w:rsidRDefault="00DA0EC5" w:rsidP="005334E8">
      <w:pPr>
        <w:pStyle w:val="Addressess"/>
      </w:pPr>
      <w:r>
        <w:t xml:space="preserve">Brisbane Qld 4001 </w:t>
      </w:r>
    </w:p>
    <w:p w:rsidR="00DA0EC5" w:rsidRDefault="00DA0EC5" w:rsidP="005334E8">
      <w:pPr>
        <w:pStyle w:val="Addressess"/>
      </w:pPr>
      <w:r>
        <w:t xml:space="preserve">Phone: 07 3008 2633 </w:t>
      </w:r>
    </w:p>
    <w:p w:rsidR="00DA0EC5" w:rsidRDefault="00DA0EC5" w:rsidP="005334E8">
      <w:pPr>
        <w:pStyle w:val="Addressess"/>
      </w:pPr>
      <w:r>
        <w:t xml:space="preserve">Email: qfleet-mail@qfleet.qld.gov.au </w:t>
      </w:r>
    </w:p>
    <w:p w:rsidR="00DA0EC5" w:rsidRDefault="00DA0EC5" w:rsidP="005334E8">
      <w:pPr>
        <w:pStyle w:val="Add-Regions"/>
      </w:pPr>
      <w:r>
        <w:t xml:space="preserve">Government Employee Housing </w:t>
      </w:r>
    </w:p>
    <w:p w:rsidR="00DA0EC5" w:rsidRDefault="00DA0EC5" w:rsidP="005334E8">
      <w:pPr>
        <w:pStyle w:val="Add-Officename"/>
      </w:pPr>
      <w:r>
        <w:t xml:space="preserve">Head Office </w:t>
      </w:r>
    </w:p>
    <w:p w:rsidR="00DA0EC5" w:rsidRDefault="00DA0EC5" w:rsidP="005334E8">
      <w:pPr>
        <w:pStyle w:val="Addressess"/>
      </w:pPr>
      <w:r>
        <w:t xml:space="preserve">Level 6, 60 Albert Street </w:t>
      </w:r>
    </w:p>
    <w:p w:rsidR="00DA0EC5" w:rsidRDefault="00DA0EC5" w:rsidP="005334E8">
      <w:pPr>
        <w:pStyle w:val="Addressess"/>
      </w:pPr>
      <w:r>
        <w:t xml:space="preserve">GPO Box 2457 </w:t>
      </w:r>
    </w:p>
    <w:p w:rsidR="00DA0EC5" w:rsidRDefault="00DA0EC5" w:rsidP="005334E8">
      <w:pPr>
        <w:pStyle w:val="Addressess"/>
      </w:pPr>
      <w:r>
        <w:t xml:space="preserve">Brisbane Qld 4001 </w:t>
      </w:r>
    </w:p>
    <w:p w:rsidR="00DA0EC5" w:rsidRDefault="00DA0EC5" w:rsidP="005334E8">
      <w:pPr>
        <w:pStyle w:val="Addressess"/>
      </w:pPr>
      <w:r>
        <w:t xml:space="preserve">Phone: 07 3008 2722 </w:t>
      </w:r>
    </w:p>
    <w:p w:rsidR="00DA0EC5" w:rsidRDefault="00DA0EC5" w:rsidP="005334E8">
      <w:pPr>
        <w:pStyle w:val="Addressess"/>
      </w:pPr>
      <w:r>
        <w:t xml:space="preserve">Fax: 07 3224 5824 </w:t>
      </w:r>
    </w:p>
    <w:p w:rsidR="00DA0EC5" w:rsidRDefault="00DA0EC5" w:rsidP="005334E8">
      <w:pPr>
        <w:pStyle w:val="Addressess"/>
      </w:pPr>
      <w:r>
        <w:t xml:space="preserve">Email: governmentemployeehousing@hpw.qld.gov.au </w:t>
      </w:r>
    </w:p>
    <w:p w:rsidR="00DA0EC5" w:rsidRDefault="008B7210" w:rsidP="005334E8">
      <w:pPr>
        <w:pStyle w:val="Add-Regions"/>
      </w:pPr>
      <w:r>
        <w:br w:type="column"/>
      </w:r>
      <w:r w:rsidR="00DA0EC5">
        <w:t xml:space="preserve">Queensland Government Accommodation Office </w:t>
      </w:r>
    </w:p>
    <w:p w:rsidR="00DA0EC5" w:rsidRDefault="00DA0EC5" w:rsidP="005334E8">
      <w:pPr>
        <w:pStyle w:val="Add-Officename"/>
      </w:pPr>
      <w:r>
        <w:t xml:space="preserve">Head Office </w:t>
      </w:r>
    </w:p>
    <w:p w:rsidR="00DA0EC5" w:rsidRDefault="00DA0EC5" w:rsidP="005334E8">
      <w:pPr>
        <w:pStyle w:val="Addressess"/>
      </w:pPr>
      <w:r>
        <w:t xml:space="preserve">Level 4, 60 Albert Street </w:t>
      </w:r>
    </w:p>
    <w:p w:rsidR="00DA0EC5" w:rsidRDefault="00DA0EC5" w:rsidP="005334E8">
      <w:pPr>
        <w:pStyle w:val="Addressess"/>
      </w:pPr>
      <w:r>
        <w:t xml:space="preserve">GPO Box 2457 </w:t>
      </w:r>
    </w:p>
    <w:p w:rsidR="00DA0EC5" w:rsidRDefault="00DA0EC5" w:rsidP="005334E8">
      <w:pPr>
        <w:pStyle w:val="Addressess"/>
      </w:pPr>
      <w:r>
        <w:t xml:space="preserve">Brisbane Qld 4001 </w:t>
      </w:r>
    </w:p>
    <w:p w:rsidR="00DA0EC5" w:rsidRDefault="00DA0EC5" w:rsidP="005334E8">
      <w:pPr>
        <w:pStyle w:val="Addressess"/>
      </w:pPr>
      <w:r>
        <w:t xml:space="preserve">Phone: 07 3008 2761 </w:t>
      </w:r>
    </w:p>
    <w:p w:rsidR="00DA0EC5" w:rsidRDefault="00DA0EC5" w:rsidP="005334E8">
      <w:pPr>
        <w:pStyle w:val="Addressess"/>
      </w:pPr>
      <w:r>
        <w:t xml:space="preserve">Fax: 07 3224 6266 </w:t>
      </w:r>
    </w:p>
    <w:p w:rsidR="00DA0EC5" w:rsidRDefault="00DA0EC5" w:rsidP="005334E8">
      <w:pPr>
        <w:pStyle w:val="Addressess"/>
      </w:pPr>
      <w:r>
        <w:t xml:space="preserve">Email: QGAO.enquiries@hpw.qld.gov.au </w:t>
      </w:r>
    </w:p>
    <w:p w:rsidR="00DA0EC5" w:rsidRPr="00E21F14" w:rsidRDefault="00DA0EC5" w:rsidP="00FC37A1">
      <w:pPr>
        <w:pStyle w:val="Add-Regions"/>
      </w:pPr>
      <w:r w:rsidRPr="00E21F14">
        <w:t xml:space="preserve">Queensland Government Chief Information Office </w:t>
      </w:r>
    </w:p>
    <w:p w:rsidR="00DA0EC5" w:rsidRDefault="00DA0EC5" w:rsidP="005334E8">
      <w:pPr>
        <w:pStyle w:val="Addressess"/>
      </w:pPr>
      <w:r>
        <w:t xml:space="preserve">Level 24, 111 George Street </w:t>
      </w:r>
    </w:p>
    <w:p w:rsidR="00DA0EC5" w:rsidRDefault="00DA0EC5" w:rsidP="005334E8">
      <w:pPr>
        <w:pStyle w:val="Addressess"/>
      </w:pPr>
      <w:r>
        <w:t xml:space="preserve">Brisbane Qld 4001 </w:t>
      </w:r>
    </w:p>
    <w:p w:rsidR="00DA0EC5" w:rsidRDefault="00DA0EC5" w:rsidP="005334E8">
      <w:pPr>
        <w:pStyle w:val="Addressess"/>
      </w:pPr>
      <w:r>
        <w:t xml:space="preserve">Phone: 13 GOV (13 74 68) </w:t>
      </w:r>
    </w:p>
    <w:p w:rsidR="00DA0EC5" w:rsidRDefault="00DA0EC5" w:rsidP="005334E8">
      <w:pPr>
        <w:pStyle w:val="Addressess"/>
      </w:pPr>
      <w:r>
        <w:t xml:space="preserve">Email: qgcio@qgcio.qld.gov.au </w:t>
      </w:r>
    </w:p>
    <w:p w:rsidR="00DA0EC5" w:rsidRDefault="00DA0EC5" w:rsidP="005334E8">
      <w:pPr>
        <w:pStyle w:val="Add-Regions"/>
      </w:pPr>
      <w:r>
        <w:t xml:space="preserve">Queensland Government Procurement </w:t>
      </w:r>
    </w:p>
    <w:p w:rsidR="00DA0EC5" w:rsidRDefault="00DA0EC5" w:rsidP="005334E8">
      <w:pPr>
        <w:pStyle w:val="Addressess"/>
      </w:pPr>
      <w:r>
        <w:t xml:space="preserve">Level 15, 41 George Street GPO Box 123 </w:t>
      </w:r>
    </w:p>
    <w:p w:rsidR="00DA0EC5" w:rsidRDefault="00DA0EC5" w:rsidP="005334E8">
      <w:pPr>
        <w:pStyle w:val="Addressess"/>
      </w:pPr>
      <w:r>
        <w:t xml:space="preserve">Brisbane Qld 4001 </w:t>
      </w:r>
    </w:p>
    <w:p w:rsidR="00DA0EC5" w:rsidRDefault="00DA0EC5" w:rsidP="005334E8">
      <w:pPr>
        <w:pStyle w:val="Addressess"/>
      </w:pPr>
      <w:r>
        <w:t xml:space="preserve">Phone: 13 QGOV (13 74 68) </w:t>
      </w:r>
    </w:p>
    <w:p w:rsidR="00DA0EC5" w:rsidRDefault="00DA0EC5" w:rsidP="005334E8">
      <w:pPr>
        <w:pStyle w:val="Addressess"/>
      </w:pPr>
      <w:r>
        <w:t xml:space="preserve">Email: QGP–BetterProcurement@hpw.qld.gov.au </w:t>
      </w:r>
    </w:p>
    <w:p w:rsidR="00DA0EC5" w:rsidRDefault="00DA0EC5" w:rsidP="005334E8">
      <w:pPr>
        <w:pStyle w:val="Add-Regions"/>
      </w:pPr>
      <w:r>
        <w:t xml:space="preserve">Regulatory Services (formerly Office of the Registrar) </w:t>
      </w:r>
    </w:p>
    <w:p w:rsidR="00DA0EC5" w:rsidRDefault="00DA0EC5" w:rsidP="005334E8">
      <w:pPr>
        <w:pStyle w:val="Addressess"/>
      </w:pPr>
      <w:r>
        <w:t xml:space="preserve">Level 19, 41 George Street </w:t>
      </w:r>
    </w:p>
    <w:p w:rsidR="00DA0EC5" w:rsidRDefault="00DA0EC5" w:rsidP="005334E8">
      <w:pPr>
        <w:pStyle w:val="Addressess"/>
      </w:pPr>
      <w:r>
        <w:t xml:space="preserve">GPO Box 690 </w:t>
      </w:r>
    </w:p>
    <w:p w:rsidR="00DA0EC5" w:rsidRDefault="00DA0EC5" w:rsidP="005334E8">
      <w:pPr>
        <w:pStyle w:val="Addressess"/>
      </w:pPr>
      <w:r>
        <w:t xml:space="preserve">Brisbane Qld 4001 </w:t>
      </w:r>
    </w:p>
    <w:p w:rsidR="00DA0EC5" w:rsidRDefault="00DA0EC5" w:rsidP="005334E8">
      <w:pPr>
        <w:pStyle w:val="Addressess"/>
      </w:pPr>
      <w:r>
        <w:t xml:space="preserve">Phone: 13 QGOV (13 74 68) </w:t>
      </w:r>
    </w:p>
    <w:p w:rsidR="00DA0EC5" w:rsidRDefault="00DA0EC5" w:rsidP="005334E8">
      <w:pPr>
        <w:pStyle w:val="Addressess"/>
      </w:pPr>
      <w:r>
        <w:t xml:space="preserve">Email: QldHousingRegistrar@hpw.qld.gov.au </w:t>
      </w:r>
    </w:p>
    <w:p w:rsidR="00DA0EC5" w:rsidRDefault="00DA0EC5" w:rsidP="005334E8">
      <w:pPr>
        <w:pStyle w:val="Addressess"/>
      </w:pPr>
      <w:r>
        <w:t xml:space="preserve">Email: residentialservices@hpw.qld.gov.au </w:t>
      </w:r>
    </w:p>
    <w:p w:rsidR="00DA0EC5" w:rsidRDefault="008B7210" w:rsidP="005334E8">
      <w:pPr>
        <w:pStyle w:val="Add-Regions"/>
      </w:pPr>
      <w:bookmarkStart w:id="87" w:name="END_LOCATIONS"/>
      <w:r>
        <w:br w:type="column"/>
      </w:r>
      <w:r w:rsidR="00DA0EC5">
        <w:t xml:space="preserve">Queensland Government Service Centres </w:t>
      </w:r>
    </w:p>
    <w:bookmarkEnd w:id="87"/>
    <w:p w:rsidR="00DA0EC5" w:rsidRDefault="00DA0EC5" w:rsidP="005334E8">
      <w:pPr>
        <w:pStyle w:val="Add-Officename"/>
      </w:pPr>
      <w:r>
        <w:t xml:space="preserve">Brisbane </w:t>
      </w:r>
    </w:p>
    <w:p w:rsidR="00DA0EC5" w:rsidRDefault="00DA0EC5" w:rsidP="005334E8">
      <w:pPr>
        <w:pStyle w:val="Addressess"/>
      </w:pPr>
      <w:r>
        <w:t xml:space="preserve">33 Charlotte Street </w:t>
      </w:r>
    </w:p>
    <w:p w:rsidR="00DA0EC5" w:rsidRDefault="00DA0EC5" w:rsidP="005334E8">
      <w:pPr>
        <w:pStyle w:val="Addressess"/>
      </w:pPr>
      <w:r>
        <w:t xml:space="preserve">Brisbane Qld 4000 </w:t>
      </w:r>
    </w:p>
    <w:p w:rsidR="00DA0EC5" w:rsidRDefault="00DA0EC5" w:rsidP="005334E8">
      <w:pPr>
        <w:pStyle w:val="Addressess"/>
      </w:pPr>
      <w:r>
        <w:t xml:space="preserve">PO Box 10817 </w:t>
      </w:r>
    </w:p>
    <w:p w:rsidR="00DA0EC5" w:rsidRDefault="00DA0EC5" w:rsidP="005334E8">
      <w:pPr>
        <w:pStyle w:val="Addressess"/>
      </w:pPr>
      <w:r>
        <w:t xml:space="preserve">Brisbane Adelaide Street Qld 4000 </w:t>
      </w:r>
    </w:p>
    <w:p w:rsidR="00DA0EC5" w:rsidRDefault="00DA0EC5" w:rsidP="005334E8">
      <w:pPr>
        <w:pStyle w:val="Addressess"/>
      </w:pPr>
      <w:r>
        <w:t xml:space="preserve">Phone: 07 3227 7131 </w:t>
      </w:r>
    </w:p>
    <w:p w:rsidR="00DA0EC5" w:rsidRDefault="00DA0EC5" w:rsidP="005334E8">
      <w:pPr>
        <w:pStyle w:val="Add-Officename"/>
      </w:pPr>
      <w:r>
        <w:t xml:space="preserve">Cairns </w:t>
      </w:r>
    </w:p>
    <w:p w:rsidR="00DA0EC5" w:rsidRDefault="00DA0EC5" w:rsidP="005334E8">
      <w:pPr>
        <w:pStyle w:val="Addressess"/>
      </w:pPr>
      <w:r>
        <w:t xml:space="preserve">5B Sheridan Street </w:t>
      </w:r>
    </w:p>
    <w:p w:rsidR="00DA0EC5" w:rsidRDefault="00DA0EC5" w:rsidP="005334E8">
      <w:pPr>
        <w:pStyle w:val="Addressess"/>
      </w:pPr>
      <w:r>
        <w:t xml:space="preserve">Ground Floor, William McCormack Place </w:t>
      </w:r>
    </w:p>
    <w:p w:rsidR="00DA0EC5" w:rsidRDefault="00DA0EC5" w:rsidP="005334E8">
      <w:pPr>
        <w:pStyle w:val="Addressess"/>
      </w:pPr>
      <w:r>
        <w:t xml:space="preserve">PO Box 5226 </w:t>
      </w:r>
    </w:p>
    <w:p w:rsidR="00DA0EC5" w:rsidRDefault="00DA0EC5" w:rsidP="005334E8">
      <w:pPr>
        <w:pStyle w:val="Addressess"/>
      </w:pPr>
      <w:r>
        <w:t xml:space="preserve">Cairns Qld 4870 </w:t>
      </w:r>
    </w:p>
    <w:p w:rsidR="00DA0EC5" w:rsidRDefault="00DA0EC5" w:rsidP="005334E8">
      <w:pPr>
        <w:pStyle w:val="Addressess"/>
      </w:pPr>
      <w:r>
        <w:t xml:space="preserve">Phone: 07 4048 9895 </w:t>
      </w:r>
    </w:p>
    <w:p w:rsidR="00DA0EC5" w:rsidRDefault="00DA0EC5" w:rsidP="005334E8">
      <w:pPr>
        <w:pStyle w:val="Add-Officename"/>
      </w:pPr>
      <w:bookmarkStart w:id="88" w:name="OUR_LOCATIONS_END"/>
      <w:r>
        <w:t xml:space="preserve">Maroochydore </w:t>
      </w:r>
    </w:p>
    <w:bookmarkEnd w:id="88"/>
    <w:p w:rsidR="00DA0EC5" w:rsidRDefault="00DA0EC5" w:rsidP="005334E8">
      <w:pPr>
        <w:pStyle w:val="Addressess"/>
      </w:pPr>
      <w:r>
        <w:t xml:space="preserve">Ground Floor </w:t>
      </w:r>
    </w:p>
    <w:p w:rsidR="00DA0EC5" w:rsidRDefault="00DA0EC5" w:rsidP="005334E8">
      <w:pPr>
        <w:pStyle w:val="Addressess"/>
      </w:pPr>
      <w:r>
        <w:t xml:space="preserve">Mike Ahern Centre </w:t>
      </w:r>
    </w:p>
    <w:p w:rsidR="00DA0EC5" w:rsidRDefault="00DA0EC5" w:rsidP="005334E8">
      <w:pPr>
        <w:pStyle w:val="Addressess"/>
      </w:pPr>
      <w:r>
        <w:t xml:space="preserve">Maroochydore Qld 4558 </w:t>
      </w:r>
    </w:p>
    <w:p w:rsidR="00DA0EC5" w:rsidRDefault="00DA0EC5" w:rsidP="005334E8">
      <w:pPr>
        <w:pStyle w:val="Addressess"/>
      </w:pPr>
      <w:r>
        <w:t>Phone: 07 5453 1816</w:t>
      </w:r>
    </w:p>
    <w:p w:rsidR="005334E8" w:rsidRDefault="005334E8" w:rsidP="005334E8">
      <w:pPr>
        <w:pStyle w:val="Addressess"/>
      </w:pPr>
    </w:p>
    <w:p w:rsidR="00CF21E2" w:rsidRDefault="00CF21E2">
      <w:pPr>
        <w:spacing w:before="0" w:after="0"/>
        <w:rPr>
          <w:rFonts w:ascii="Arial" w:hAnsi="Arial" w:cs="Arial"/>
        </w:rPr>
        <w:sectPr w:rsidR="00CF21E2" w:rsidSect="00CF21E2">
          <w:headerReference w:type="even" r:id="rId29"/>
          <w:footerReference w:type="even" r:id="rId30"/>
          <w:type w:val="continuous"/>
          <w:pgSz w:w="11910" w:h="16840"/>
          <w:pgMar w:top="1440" w:right="1080" w:bottom="1440" w:left="1080" w:header="720" w:footer="720" w:gutter="0"/>
          <w:cols w:num="3" w:space="720"/>
        </w:sectPr>
      </w:pPr>
    </w:p>
    <w:p w:rsidR="00CF21E2" w:rsidRPr="0010587C" w:rsidRDefault="0010587C" w:rsidP="0010587C">
      <w:pPr>
        <w:pStyle w:val="Heading1"/>
      </w:pPr>
      <w:bookmarkStart w:id="89" w:name="GLOSSARY"/>
      <w:bookmarkStart w:id="90" w:name="_Toc528845982"/>
      <w:r w:rsidRPr="0010587C">
        <w:lastRenderedPageBreak/>
        <w:t xml:space="preserve">Glossary </w:t>
      </w:r>
      <w:bookmarkEnd w:id="89"/>
      <w:r w:rsidRPr="0010587C">
        <w:t>of Terms</w:t>
      </w:r>
      <w:bookmarkEnd w:id="90"/>
    </w:p>
    <w:p w:rsidR="00FC37A1" w:rsidRDefault="00FC37A1" w:rsidP="00CF21E2">
      <w:pPr>
        <w:spacing w:before="0" w:after="0"/>
        <w:rPr>
          <w:rFonts w:ascii="Arial" w:hAnsi="Arial" w:cs="Arial"/>
        </w:rPr>
      </w:pPr>
    </w:p>
    <w:p w:rsidR="00FC37A1" w:rsidRPr="0010587C" w:rsidRDefault="00FC37A1" w:rsidP="0010587C">
      <w:pPr>
        <w:tabs>
          <w:tab w:val="left" w:pos="1701"/>
        </w:tabs>
      </w:pPr>
      <w:r w:rsidRPr="0010587C">
        <w:t xml:space="preserve">AFL </w:t>
      </w:r>
      <w:r w:rsidRPr="0010587C">
        <w:tab/>
        <w:t xml:space="preserve">Australian Football League </w:t>
      </w:r>
    </w:p>
    <w:p w:rsidR="00FC37A1" w:rsidRPr="0010587C" w:rsidRDefault="00FC37A1" w:rsidP="0010587C">
      <w:pPr>
        <w:tabs>
          <w:tab w:val="left" w:pos="1701"/>
        </w:tabs>
      </w:pPr>
      <w:r w:rsidRPr="0010587C">
        <w:t xml:space="preserve">AS/NZS </w:t>
      </w:r>
      <w:r w:rsidRPr="0010587C">
        <w:tab/>
        <w:t xml:space="preserve">Australia/New Zealand Standard </w:t>
      </w:r>
    </w:p>
    <w:p w:rsidR="00FC37A1" w:rsidRPr="0010587C" w:rsidRDefault="00FC37A1" w:rsidP="0010587C">
      <w:pPr>
        <w:tabs>
          <w:tab w:val="left" w:pos="1701"/>
        </w:tabs>
      </w:pPr>
      <w:r w:rsidRPr="0010587C">
        <w:t xml:space="preserve">AO </w:t>
      </w:r>
      <w:r w:rsidRPr="0010587C">
        <w:tab/>
        <w:t xml:space="preserve">Administration Officer </w:t>
      </w:r>
    </w:p>
    <w:p w:rsidR="00FC37A1" w:rsidRPr="0010587C" w:rsidRDefault="00FC37A1" w:rsidP="0010587C">
      <w:pPr>
        <w:tabs>
          <w:tab w:val="left" w:pos="1701"/>
        </w:tabs>
      </w:pPr>
      <w:r w:rsidRPr="0010587C">
        <w:t xml:space="preserve">FCPA </w:t>
      </w:r>
      <w:r w:rsidRPr="0010587C">
        <w:tab/>
        <w:t xml:space="preserve">Fellow of CPA Australia </w:t>
      </w:r>
    </w:p>
    <w:p w:rsidR="00FC37A1" w:rsidRPr="0010587C" w:rsidRDefault="00FC37A1" w:rsidP="0010587C">
      <w:pPr>
        <w:tabs>
          <w:tab w:val="left" w:pos="1701"/>
        </w:tabs>
      </w:pPr>
      <w:r w:rsidRPr="0010587C">
        <w:t xml:space="preserve">FTE </w:t>
      </w:r>
      <w:r w:rsidRPr="0010587C">
        <w:tab/>
        <w:t xml:space="preserve">Full Time Equivalent </w:t>
      </w:r>
    </w:p>
    <w:p w:rsidR="00FC37A1" w:rsidRPr="0010587C" w:rsidRDefault="00FC37A1" w:rsidP="0010587C">
      <w:pPr>
        <w:tabs>
          <w:tab w:val="left" w:pos="1701"/>
        </w:tabs>
      </w:pPr>
      <w:r w:rsidRPr="0010587C">
        <w:t xml:space="preserve">GC2018 </w:t>
      </w:r>
      <w:r w:rsidRPr="0010587C">
        <w:tab/>
        <w:t xml:space="preserve">Gold Coast Commonwealth Games 2018 </w:t>
      </w:r>
    </w:p>
    <w:p w:rsidR="00FC37A1" w:rsidRPr="0010587C" w:rsidRDefault="00FC37A1" w:rsidP="0010587C">
      <w:pPr>
        <w:tabs>
          <w:tab w:val="left" w:pos="1701"/>
        </w:tabs>
      </w:pPr>
      <w:r w:rsidRPr="0010587C">
        <w:t xml:space="preserve">GPO </w:t>
      </w:r>
      <w:r w:rsidRPr="0010587C">
        <w:tab/>
        <w:t xml:space="preserve">General Post Office </w:t>
      </w:r>
    </w:p>
    <w:p w:rsidR="00FC37A1" w:rsidRPr="0010587C" w:rsidRDefault="00FC37A1" w:rsidP="0010587C">
      <w:pPr>
        <w:tabs>
          <w:tab w:val="left" w:pos="1701"/>
        </w:tabs>
      </w:pPr>
      <w:r w:rsidRPr="0010587C">
        <w:t xml:space="preserve">HRIS </w:t>
      </w:r>
      <w:r w:rsidRPr="0010587C">
        <w:tab/>
        <w:t xml:space="preserve">Human Resources Information System </w:t>
      </w:r>
    </w:p>
    <w:p w:rsidR="00FC37A1" w:rsidRPr="0010587C" w:rsidRDefault="00FC37A1" w:rsidP="0010587C">
      <w:pPr>
        <w:tabs>
          <w:tab w:val="left" w:pos="1701"/>
        </w:tabs>
      </w:pPr>
      <w:r w:rsidRPr="0010587C">
        <w:t xml:space="preserve">ICT </w:t>
      </w:r>
      <w:r w:rsidRPr="0010587C">
        <w:tab/>
        <w:t xml:space="preserve">Information Communication Technology </w:t>
      </w:r>
    </w:p>
    <w:p w:rsidR="00FC37A1" w:rsidRPr="0010587C" w:rsidRDefault="00FC37A1" w:rsidP="0010587C">
      <w:pPr>
        <w:tabs>
          <w:tab w:val="left" w:pos="1701"/>
        </w:tabs>
      </w:pPr>
      <w:r w:rsidRPr="0010587C">
        <w:t>MOHRI FTE</w:t>
      </w:r>
      <w:r w:rsidRPr="0010587C">
        <w:tab/>
        <w:t xml:space="preserve">Minimum Obligatory Human Resources Information Full Time Equivalent </w:t>
      </w:r>
    </w:p>
    <w:p w:rsidR="00FC37A1" w:rsidRPr="0010587C" w:rsidRDefault="00FC37A1" w:rsidP="0010587C">
      <w:pPr>
        <w:tabs>
          <w:tab w:val="left" w:pos="1701"/>
        </w:tabs>
      </w:pPr>
      <w:r w:rsidRPr="0010587C">
        <w:t xml:space="preserve">NAIDOC </w:t>
      </w:r>
      <w:r w:rsidRPr="0010587C">
        <w:tab/>
        <w:t xml:space="preserve">National Aboriginal and Island Day Observance Committee </w:t>
      </w:r>
    </w:p>
    <w:p w:rsidR="00FC37A1" w:rsidRPr="0010587C" w:rsidRDefault="00FC37A1" w:rsidP="0010587C">
      <w:pPr>
        <w:tabs>
          <w:tab w:val="left" w:pos="1701"/>
        </w:tabs>
      </w:pPr>
      <w:r w:rsidRPr="0010587C">
        <w:t xml:space="preserve">NHHA </w:t>
      </w:r>
      <w:r w:rsidRPr="0010587C">
        <w:tab/>
        <w:t xml:space="preserve">National Housing and Homelessness Agreement </w:t>
      </w:r>
    </w:p>
    <w:p w:rsidR="00FC37A1" w:rsidRPr="0010587C" w:rsidRDefault="00FC37A1" w:rsidP="0010587C">
      <w:pPr>
        <w:tabs>
          <w:tab w:val="left" w:pos="1701"/>
        </w:tabs>
      </w:pPr>
      <w:r w:rsidRPr="0010587C">
        <w:t xml:space="preserve">NRAS </w:t>
      </w:r>
      <w:r w:rsidRPr="0010587C">
        <w:tab/>
        <w:t xml:space="preserve">National Rental Affordability Scheme </w:t>
      </w:r>
    </w:p>
    <w:p w:rsidR="00FC37A1" w:rsidRPr="0010587C" w:rsidRDefault="00FC37A1" w:rsidP="0010587C">
      <w:pPr>
        <w:tabs>
          <w:tab w:val="left" w:pos="1701"/>
        </w:tabs>
      </w:pPr>
      <w:r w:rsidRPr="0010587C">
        <w:t xml:space="preserve">NRL </w:t>
      </w:r>
      <w:r w:rsidRPr="0010587C">
        <w:tab/>
        <w:t xml:space="preserve">National Rugby League </w:t>
      </w:r>
    </w:p>
    <w:p w:rsidR="00FC37A1" w:rsidRPr="0010587C" w:rsidRDefault="00FC37A1" w:rsidP="0010587C">
      <w:pPr>
        <w:tabs>
          <w:tab w:val="left" w:pos="1701"/>
        </w:tabs>
      </w:pPr>
      <w:r w:rsidRPr="0010587C">
        <w:t xml:space="preserve">NRSCH </w:t>
      </w:r>
      <w:r w:rsidR="0010587C" w:rsidRPr="0010587C">
        <w:tab/>
      </w:r>
      <w:r w:rsidRPr="0010587C">
        <w:t xml:space="preserve">National Regulatory System for Community Housing </w:t>
      </w:r>
    </w:p>
    <w:p w:rsidR="00FC37A1" w:rsidRPr="0010587C" w:rsidRDefault="00FC37A1" w:rsidP="0010587C">
      <w:pPr>
        <w:tabs>
          <w:tab w:val="left" w:pos="1701"/>
        </w:tabs>
      </w:pPr>
      <w:r w:rsidRPr="0010587C">
        <w:t xml:space="preserve">PCI DSS </w:t>
      </w:r>
      <w:r w:rsidR="0010587C" w:rsidRPr="0010587C">
        <w:tab/>
      </w:r>
      <w:r w:rsidRPr="0010587C">
        <w:t xml:space="preserve">Payment Card Industry Data Security Standard </w:t>
      </w:r>
    </w:p>
    <w:p w:rsidR="00FC37A1" w:rsidRPr="0010587C" w:rsidRDefault="00FC37A1" w:rsidP="0010587C">
      <w:pPr>
        <w:tabs>
          <w:tab w:val="left" w:pos="1701"/>
        </w:tabs>
      </w:pPr>
      <w:r w:rsidRPr="0010587C">
        <w:t xml:space="preserve">QG </w:t>
      </w:r>
      <w:r w:rsidR="0010587C" w:rsidRPr="0010587C">
        <w:tab/>
      </w:r>
      <w:r w:rsidRPr="0010587C">
        <w:t xml:space="preserve">Queensland Government </w:t>
      </w:r>
    </w:p>
    <w:p w:rsidR="00FC37A1" w:rsidRPr="0010587C" w:rsidRDefault="00FC37A1" w:rsidP="0010587C">
      <w:pPr>
        <w:tabs>
          <w:tab w:val="left" w:pos="1701"/>
        </w:tabs>
      </w:pPr>
      <w:r w:rsidRPr="0010587C">
        <w:t xml:space="preserve">QAO </w:t>
      </w:r>
      <w:r w:rsidR="0010587C" w:rsidRPr="0010587C">
        <w:tab/>
      </w:r>
      <w:r w:rsidRPr="0010587C">
        <w:t xml:space="preserve">Queensland Audit Office </w:t>
      </w:r>
    </w:p>
    <w:p w:rsidR="00FC37A1" w:rsidRPr="0010587C" w:rsidRDefault="00FC37A1" w:rsidP="0010587C">
      <w:pPr>
        <w:tabs>
          <w:tab w:val="left" w:pos="1701"/>
        </w:tabs>
      </w:pPr>
      <w:r w:rsidRPr="0010587C">
        <w:t>QAS</w:t>
      </w:r>
      <w:r w:rsidR="0010587C" w:rsidRPr="0010587C">
        <w:tab/>
      </w:r>
      <w:r w:rsidRPr="0010587C">
        <w:t xml:space="preserve">Queensland Academy of Sport </w:t>
      </w:r>
    </w:p>
    <w:p w:rsidR="00FC37A1" w:rsidRPr="0010587C" w:rsidRDefault="00FC37A1" w:rsidP="0010587C">
      <w:pPr>
        <w:tabs>
          <w:tab w:val="left" w:pos="1701"/>
        </w:tabs>
      </w:pPr>
      <w:r w:rsidRPr="0010587C">
        <w:t xml:space="preserve">OSS </w:t>
      </w:r>
      <w:r w:rsidR="0010587C" w:rsidRPr="0010587C">
        <w:tab/>
      </w:r>
      <w:r w:rsidRPr="0010587C">
        <w:t xml:space="preserve">One-Stop Shop </w:t>
      </w:r>
    </w:p>
    <w:p w:rsidR="00FC37A1" w:rsidRPr="0010587C" w:rsidRDefault="00FC37A1" w:rsidP="0010587C">
      <w:pPr>
        <w:tabs>
          <w:tab w:val="left" w:pos="1701"/>
        </w:tabs>
      </w:pPr>
      <w:r w:rsidRPr="0010587C">
        <w:t xml:space="preserve">QGCIO </w:t>
      </w:r>
      <w:r w:rsidR="0010587C" w:rsidRPr="0010587C">
        <w:tab/>
      </w:r>
      <w:r w:rsidRPr="0010587C">
        <w:t xml:space="preserve">Queensland Government Information Office </w:t>
      </w:r>
    </w:p>
    <w:p w:rsidR="00FC37A1" w:rsidRPr="0010587C" w:rsidRDefault="00FC37A1" w:rsidP="0010587C">
      <w:pPr>
        <w:tabs>
          <w:tab w:val="left" w:pos="1701"/>
        </w:tabs>
      </w:pPr>
      <w:r w:rsidRPr="0010587C">
        <w:t xml:space="preserve">QGOV </w:t>
      </w:r>
      <w:r w:rsidR="0010587C" w:rsidRPr="0010587C">
        <w:tab/>
      </w:r>
      <w:r w:rsidRPr="0010587C">
        <w:t xml:space="preserve">Queensland Government </w:t>
      </w:r>
    </w:p>
    <w:p w:rsidR="00FC37A1" w:rsidRPr="0010587C" w:rsidRDefault="00FC37A1" w:rsidP="0010587C">
      <w:pPr>
        <w:tabs>
          <w:tab w:val="left" w:pos="1701"/>
        </w:tabs>
      </w:pPr>
      <w:r w:rsidRPr="0010587C">
        <w:t xml:space="preserve">QSS </w:t>
      </w:r>
      <w:r w:rsidR="0010587C" w:rsidRPr="0010587C">
        <w:tab/>
      </w:r>
      <w:r w:rsidRPr="0010587C">
        <w:t xml:space="preserve">Queensland Shared Services </w:t>
      </w:r>
    </w:p>
    <w:p w:rsidR="00FC37A1" w:rsidRPr="0010587C" w:rsidRDefault="00FC37A1" w:rsidP="0010587C">
      <w:pPr>
        <w:tabs>
          <w:tab w:val="left" w:pos="1701"/>
        </w:tabs>
      </w:pPr>
      <w:r w:rsidRPr="0010587C">
        <w:t xml:space="preserve">QSTARS </w:t>
      </w:r>
      <w:r w:rsidR="0010587C" w:rsidRPr="0010587C">
        <w:tab/>
      </w:r>
      <w:r w:rsidRPr="0010587C">
        <w:t xml:space="preserve">Queensland Statewide </w:t>
      </w:r>
      <w:r w:rsidR="0010587C" w:rsidRPr="0010587C">
        <w:t>Tenants</w:t>
      </w:r>
      <w:r w:rsidRPr="0010587C">
        <w:t xml:space="preserve"> Advice and Referral Service </w:t>
      </w:r>
    </w:p>
    <w:p w:rsidR="00FC37A1" w:rsidRPr="0010587C" w:rsidRDefault="00FC37A1" w:rsidP="0010587C">
      <w:pPr>
        <w:tabs>
          <w:tab w:val="left" w:pos="1701"/>
        </w:tabs>
      </w:pPr>
      <w:r w:rsidRPr="0010587C">
        <w:t xml:space="preserve">SSQ </w:t>
      </w:r>
      <w:r w:rsidR="0010587C" w:rsidRPr="0010587C">
        <w:tab/>
      </w:r>
      <w:r w:rsidRPr="0010587C">
        <w:t xml:space="preserve">Smart Service Queensland </w:t>
      </w:r>
    </w:p>
    <w:p w:rsidR="00A6311B" w:rsidRDefault="00FC37A1" w:rsidP="0010587C">
      <w:pPr>
        <w:tabs>
          <w:tab w:val="left" w:pos="1701"/>
        </w:tabs>
      </w:pPr>
      <w:r w:rsidRPr="0010587C">
        <w:t xml:space="preserve">TWIG </w:t>
      </w:r>
      <w:r w:rsidR="0010587C" w:rsidRPr="0010587C">
        <w:tab/>
      </w:r>
      <w:r w:rsidRPr="0010587C">
        <w:t>Testing within Government</w:t>
      </w:r>
    </w:p>
    <w:p w:rsidR="00A6311B" w:rsidRDefault="00A6311B">
      <w:pPr>
        <w:spacing w:before="0" w:after="0"/>
      </w:pPr>
      <w:r>
        <w:br w:type="page"/>
      </w:r>
    </w:p>
    <w:p w:rsidR="00FC37A1" w:rsidRDefault="00A6311B" w:rsidP="00A03DBD">
      <w:pPr>
        <w:pStyle w:val="Heading1"/>
      </w:pPr>
      <w:bookmarkStart w:id="91" w:name="_Toc528845983"/>
      <w:r>
        <w:lastRenderedPageBreak/>
        <w:t xml:space="preserve">Compliance </w:t>
      </w:r>
      <w:bookmarkStart w:id="92" w:name="CHECKLIST"/>
      <w:r>
        <w:t>Checklist</w:t>
      </w:r>
      <w:bookmarkEnd w:id="92"/>
      <w:bookmarkEnd w:id="91"/>
    </w:p>
    <w:tbl>
      <w:tblPr>
        <w:tblW w:w="9592" w:type="dxa"/>
        <w:tblBorders>
          <w:insideH w:val="single" w:sz="4" w:space="0" w:color="auto"/>
        </w:tblBorders>
        <w:tblLayout w:type="fixed"/>
        <w:tblLook w:val="01E0" w:firstRow="1" w:lastRow="1" w:firstColumn="1" w:lastColumn="1" w:noHBand="0" w:noVBand="0"/>
      </w:tblPr>
      <w:tblGrid>
        <w:gridCol w:w="1548"/>
        <w:gridCol w:w="4122"/>
        <w:gridCol w:w="2268"/>
        <w:gridCol w:w="1654"/>
      </w:tblGrid>
      <w:tr w:rsidR="00A6311B" w:rsidRPr="00112138" w:rsidTr="00F029A0">
        <w:trPr>
          <w:cantSplit/>
          <w:tblHeader/>
        </w:trPr>
        <w:tc>
          <w:tcPr>
            <w:tcW w:w="5670" w:type="dxa"/>
            <w:gridSpan w:val="2"/>
            <w:tcBorders>
              <w:top w:val="single" w:sz="4" w:space="0" w:color="auto"/>
              <w:bottom w:val="single" w:sz="4" w:space="0" w:color="auto"/>
              <w:right w:val="single" w:sz="4" w:space="0" w:color="auto"/>
            </w:tcBorders>
            <w:shd w:val="clear" w:color="auto" w:fill="E6E6E6"/>
            <w:vAlign w:val="center"/>
          </w:tcPr>
          <w:p w:rsidR="00A6311B" w:rsidRPr="00735CE6" w:rsidRDefault="00A6311B" w:rsidP="00F029A0">
            <w:pPr>
              <w:pStyle w:val="Text"/>
              <w:rPr>
                <w:b/>
                <w:sz w:val="18"/>
                <w:szCs w:val="18"/>
              </w:rPr>
            </w:pPr>
            <w:r w:rsidRPr="00735CE6">
              <w:rPr>
                <w:b/>
                <w:sz w:val="18"/>
                <w:szCs w:val="18"/>
              </w:rPr>
              <w:t>Summary of requirement</w:t>
            </w:r>
          </w:p>
        </w:tc>
        <w:tc>
          <w:tcPr>
            <w:tcW w:w="2268" w:type="dxa"/>
            <w:tcBorders>
              <w:top w:val="single" w:sz="4" w:space="0" w:color="auto"/>
              <w:left w:val="single" w:sz="4" w:space="0" w:color="auto"/>
              <w:bottom w:val="single" w:sz="4" w:space="0" w:color="auto"/>
            </w:tcBorders>
            <w:shd w:val="clear" w:color="auto" w:fill="E6E6E6"/>
            <w:vAlign w:val="center"/>
          </w:tcPr>
          <w:p w:rsidR="00A6311B" w:rsidRPr="00735CE6" w:rsidRDefault="00A6311B" w:rsidP="00F029A0">
            <w:pPr>
              <w:pStyle w:val="Text"/>
              <w:jc w:val="center"/>
              <w:rPr>
                <w:b/>
                <w:sz w:val="18"/>
                <w:szCs w:val="18"/>
              </w:rPr>
            </w:pPr>
            <w:r w:rsidRPr="00735CE6">
              <w:rPr>
                <w:b/>
                <w:sz w:val="18"/>
                <w:szCs w:val="18"/>
              </w:rPr>
              <w:t>Basis for requirement</w:t>
            </w:r>
          </w:p>
        </w:tc>
        <w:tc>
          <w:tcPr>
            <w:tcW w:w="1654" w:type="dxa"/>
            <w:tcBorders>
              <w:top w:val="single" w:sz="4" w:space="0" w:color="auto"/>
              <w:left w:val="single" w:sz="4" w:space="0" w:color="auto"/>
              <w:bottom w:val="single" w:sz="4" w:space="0" w:color="auto"/>
            </w:tcBorders>
            <w:shd w:val="clear" w:color="auto" w:fill="E6E6E6"/>
            <w:vAlign w:val="center"/>
          </w:tcPr>
          <w:p w:rsidR="00A6311B" w:rsidRPr="00735CE6" w:rsidRDefault="00A6311B" w:rsidP="00F029A0">
            <w:pPr>
              <w:pStyle w:val="Text"/>
              <w:jc w:val="center"/>
              <w:rPr>
                <w:b/>
                <w:sz w:val="18"/>
                <w:szCs w:val="18"/>
              </w:rPr>
            </w:pPr>
            <w:r w:rsidRPr="00735CE6">
              <w:rPr>
                <w:b/>
                <w:sz w:val="18"/>
                <w:szCs w:val="18"/>
              </w:rPr>
              <w:t>Annual report reference</w:t>
            </w:r>
          </w:p>
        </w:tc>
      </w:tr>
      <w:tr w:rsidR="00A6311B" w:rsidRPr="00112138" w:rsidTr="00F029A0">
        <w:trPr>
          <w:cantSplit/>
        </w:trPr>
        <w:tc>
          <w:tcPr>
            <w:tcW w:w="1548" w:type="dxa"/>
            <w:tcBorders>
              <w:top w:val="single" w:sz="4" w:space="0" w:color="auto"/>
              <w:bottom w:val="single" w:sz="4" w:space="0" w:color="auto"/>
              <w:right w:val="single" w:sz="4" w:space="0" w:color="auto"/>
            </w:tcBorders>
          </w:tcPr>
          <w:p w:rsidR="00A6311B" w:rsidRPr="00112138" w:rsidRDefault="00A6311B" w:rsidP="00F029A0">
            <w:pPr>
              <w:pStyle w:val="Text"/>
              <w:spacing w:before="100" w:after="100"/>
              <w:rPr>
                <w:b/>
                <w:bCs/>
                <w:sz w:val="16"/>
                <w:szCs w:val="16"/>
              </w:rPr>
            </w:pPr>
            <w:r w:rsidRPr="00112138">
              <w:rPr>
                <w:b/>
                <w:bCs/>
                <w:sz w:val="16"/>
                <w:szCs w:val="16"/>
              </w:rPr>
              <w:t>Letter of compliance</w:t>
            </w:r>
          </w:p>
        </w:tc>
        <w:tc>
          <w:tcPr>
            <w:tcW w:w="4122" w:type="dxa"/>
            <w:tcBorders>
              <w:top w:val="single" w:sz="4" w:space="0" w:color="auto"/>
              <w:left w:val="single" w:sz="4" w:space="0" w:color="auto"/>
              <w:bottom w:val="single" w:sz="4" w:space="0" w:color="auto"/>
              <w:right w:val="single" w:sz="4" w:space="0" w:color="auto"/>
            </w:tcBorders>
          </w:tcPr>
          <w:p w:rsidR="00A6311B" w:rsidRPr="00112138" w:rsidRDefault="00A6311B" w:rsidP="00A6311B">
            <w:pPr>
              <w:pStyle w:val="Text"/>
              <w:numPr>
                <w:ilvl w:val="0"/>
                <w:numId w:val="113"/>
              </w:numPr>
              <w:tabs>
                <w:tab w:val="clear" w:pos="360"/>
                <w:tab w:val="num" w:pos="252"/>
              </w:tabs>
              <w:spacing w:before="100" w:after="100"/>
              <w:ind w:left="252" w:hanging="252"/>
              <w:rPr>
                <w:b/>
                <w:sz w:val="16"/>
                <w:szCs w:val="16"/>
              </w:rPr>
            </w:pPr>
            <w:r w:rsidRPr="00112138">
              <w:rPr>
                <w:b/>
                <w:sz w:val="16"/>
                <w:szCs w:val="16"/>
              </w:rPr>
              <w:t xml:space="preserve">A letter of compliance from the accountable officer or statutory </w:t>
            </w:r>
            <w:r>
              <w:rPr>
                <w:b/>
                <w:sz w:val="16"/>
                <w:szCs w:val="16"/>
              </w:rPr>
              <w:t>body to the relevant Minister/s</w:t>
            </w:r>
          </w:p>
        </w:tc>
        <w:tc>
          <w:tcPr>
            <w:tcW w:w="2268" w:type="dxa"/>
            <w:tcBorders>
              <w:top w:val="single" w:sz="4" w:space="0" w:color="auto"/>
              <w:left w:val="single" w:sz="4" w:space="0" w:color="auto"/>
              <w:bottom w:val="single" w:sz="4" w:space="0" w:color="auto"/>
            </w:tcBorders>
            <w:shd w:val="clear" w:color="auto" w:fill="auto"/>
          </w:tcPr>
          <w:p w:rsidR="00A6311B" w:rsidRPr="00112138" w:rsidRDefault="00A6311B" w:rsidP="00F029A0">
            <w:pPr>
              <w:pStyle w:val="Text"/>
              <w:spacing w:before="100" w:after="100"/>
              <w:rPr>
                <w:sz w:val="16"/>
                <w:szCs w:val="16"/>
              </w:rPr>
            </w:pPr>
            <w:r w:rsidRPr="00155C01">
              <w:rPr>
                <w:sz w:val="16"/>
                <w:szCs w:val="16"/>
              </w:rPr>
              <w:t>ARRs</w:t>
            </w:r>
            <w:r w:rsidRPr="00155C01">
              <w:rPr>
                <w:i/>
                <w:sz w:val="16"/>
                <w:szCs w:val="16"/>
              </w:rPr>
              <w:t xml:space="preserve"> – </w:t>
            </w:r>
            <w:r w:rsidRPr="00155C01">
              <w:rPr>
                <w:sz w:val="16"/>
                <w:szCs w:val="16"/>
              </w:rPr>
              <w:t xml:space="preserve">section </w:t>
            </w:r>
            <w:r>
              <w:rPr>
                <w:sz w:val="16"/>
                <w:szCs w:val="16"/>
              </w:rPr>
              <w:t>7</w:t>
            </w:r>
          </w:p>
        </w:tc>
        <w:tc>
          <w:tcPr>
            <w:tcW w:w="1654" w:type="dxa"/>
            <w:tcBorders>
              <w:top w:val="single" w:sz="4" w:space="0" w:color="auto"/>
              <w:left w:val="single" w:sz="4" w:space="0" w:color="auto"/>
              <w:bottom w:val="single" w:sz="4" w:space="0" w:color="auto"/>
            </w:tcBorders>
            <w:shd w:val="clear" w:color="auto" w:fill="auto"/>
          </w:tcPr>
          <w:p w:rsidR="00A6311B" w:rsidRPr="00112138" w:rsidRDefault="009334AD" w:rsidP="00F029A0">
            <w:pPr>
              <w:pStyle w:val="Text"/>
              <w:spacing w:before="100" w:after="100"/>
              <w:jc w:val="center"/>
              <w:rPr>
                <w:sz w:val="16"/>
                <w:szCs w:val="16"/>
              </w:rPr>
            </w:pPr>
            <w:r>
              <w:rPr>
                <w:sz w:val="16"/>
                <w:szCs w:val="16"/>
              </w:rPr>
              <w:fldChar w:fldCharType="begin"/>
            </w:r>
            <w:r>
              <w:rPr>
                <w:sz w:val="16"/>
                <w:szCs w:val="16"/>
              </w:rPr>
              <w:instrText xml:space="preserve"> PAGEREF COMPLIANCE \h </w:instrText>
            </w:r>
            <w:r>
              <w:rPr>
                <w:sz w:val="16"/>
                <w:szCs w:val="16"/>
              </w:rPr>
            </w:r>
            <w:r>
              <w:rPr>
                <w:sz w:val="16"/>
                <w:szCs w:val="16"/>
              </w:rPr>
              <w:fldChar w:fldCharType="separate"/>
            </w:r>
            <w:r w:rsidR="00791D73">
              <w:rPr>
                <w:noProof/>
                <w:sz w:val="16"/>
                <w:szCs w:val="16"/>
              </w:rPr>
              <w:t>3</w:t>
            </w:r>
            <w:r>
              <w:rPr>
                <w:sz w:val="16"/>
                <w:szCs w:val="16"/>
              </w:rPr>
              <w:fldChar w:fldCharType="end"/>
            </w:r>
          </w:p>
        </w:tc>
      </w:tr>
      <w:tr w:rsidR="00A6311B" w:rsidRPr="00112138" w:rsidTr="00F029A0">
        <w:trPr>
          <w:cantSplit/>
        </w:trPr>
        <w:tc>
          <w:tcPr>
            <w:tcW w:w="1548" w:type="dxa"/>
            <w:vMerge w:val="restart"/>
            <w:tcBorders>
              <w:top w:val="single" w:sz="4" w:space="0" w:color="auto"/>
              <w:right w:val="single" w:sz="4" w:space="0" w:color="auto"/>
            </w:tcBorders>
          </w:tcPr>
          <w:p w:rsidR="00A6311B" w:rsidRPr="00112138" w:rsidRDefault="00A6311B" w:rsidP="00F029A0">
            <w:pPr>
              <w:pStyle w:val="Text"/>
              <w:spacing w:before="100" w:after="100"/>
              <w:rPr>
                <w:b/>
                <w:bCs/>
                <w:sz w:val="16"/>
                <w:szCs w:val="16"/>
              </w:rPr>
            </w:pPr>
            <w:r w:rsidRPr="00112138">
              <w:rPr>
                <w:b/>
                <w:bCs/>
                <w:sz w:val="16"/>
                <w:szCs w:val="16"/>
              </w:rPr>
              <w:t>Accessibility</w:t>
            </w:r>
          </w:p>
        </w:tc>
        <w:tc>
          <w:tcPr>
            <w:tcW w:w="4122" w:type="dxa"/>
            <w:tcBorders>
              <w:top w:val="single" w:sz="4" w:space="0" w:color="auto"/>
              <w:left w:val="single" w:sz="4" w:space="0" w:color="auto"/>
              <w:bottom w:val="single" w:sz="4" w:space="0" w:color="auto"/>
              <w:right w:val="single" w:sz="4" w:space="0" w:color="auto"/>
            </w:tcBorders>
          </w:tcPr>
          <w:p w:rsidR="00A6311B" w:rsidRPr="00112138" w:rsidRDefault="00A6311B" w:rsidP="00A6311B">
            <w:pPr>
              <w:pStyle w:val="Text"/>
              <w:numPr>
                <w:ilvl w:val="0"/>
                <w:numId w:val="113"/>
              </w:numPr>
              <w:tabs>
                <w:tab w:val="clear" w:pos="360"/>
                <w:tab w:val="num" w:pos="252"/>
              </w:tabs>
              <w:spacing w:before="100" w:after="100"/>
              <w:ind w:left="252" w:hanging="252"/>
              <w:rPr>
                <w:b/>
                <w:sz w:val="16"/>
                <w:szCs w:val="16"/>
              </w:rPr>
            </w:pPr>
            <w:r w:rsidRPr="00112138">
              <w:rPr>
                <w:b/>
                <w:sz w:val="16"/>
                <w:szCs w:val="16"/>
              </w:rPr>
              <w:t>Table of contents</w:t>
            </w:r>
          </w:p>
          <w:p w:rsidR="00A6311B" w:rsidRPr="00112138" w:rsidRDefault="00A6311B" w:rsidP="00A6311B">
            <w:pPr>
              <w:pStyle w:val="Text"/>
              <w:numPr>
                <w:ilvl w:val="0"/>
                <w:numId w:val="113"/>
              </w:numPr>
              <w:tabs>
                <w:tab w:val="clear" w:pos="360"/>
                <w:tab w:val="num" w:pos="252"/>
              </w:tabs>
              <w:spacing w:before="100" w:after="100"/>
              <w:ind w:left="252" w:hanging="252"/>
              <w:rPr>
                <w:b/>
                <w:sz w:val="16"/>
                <w:szCs w:val="16"/>
              </w:rPr>
            </w:pPr>
            <w:r w:rsidRPr="00112138">
              <w:rPr>
                <w:b/>
                <w:sz w:val="16"/>
                <w:szCs w:val="16"/>
              </w:rPr>
              <w:t>Glossary</w:t>
            </w:r>
          </w:p>
        </w:tc>
        <w:tc>
          <w:tcPr>
            <w:tcW w:w="2268" w:type="dxa"/>
            <w:tcBorders>
              <w:top w:val="single" w:sz="4" w:space="0" w:color="auto"/>
              <w:left w:val="single" w:sz="4" w:space="0" w:color="auto"/>
              <w:bottom w:val="single" w:sz="4" w:space="0" w:color="auto"/>
            </w:tcBorders>
            <w:shd w:val="clear" w:color="auto" w:fill="auto"/>
          </w:tcPr>
          <w:p w:rsidR="00A6311B" w:rsidRPr="00112138" w:rsidRDefault="00A6311B" w:rsidP="00F029A0">
            <w:pPr>
              <w:pStyle w:val="Text"/>
              <w:spacing w:before="100" w:after="100"/>
              <w:rPr>
                <w:sz w:val="16"/>
                <w:szCs w:val="16"/>
              </w:rPr>
            </w:pPr>
            <w:r w:rsidRPr="00112138">
              <w:rPr>
                <w:sz w:val="16"/>
                <w:szCs w:val="16"/>
              </w:rPr>
              <w:t xml:space="preserve">ARRs – </w:t>
            </w:r>
            <w:r>
              <w:rPr>
                <w:sz w:val="16"/>
                <w:szCs w:val="16"/>
              </w:rPr>
              <w:t>section 9</w:t>
            </w:r>
            <w:r w:rsidRPr="00562CEA">
              <w:rPr>
                <w:sz w:val="16"/>
                <w:szCs w:val="16"/>
              </w:rPr>
              <w:t>.1</w:t>
            </w:r>
          </w:p>
        </w:tc>
        <w:tc>
          <w:tcPr>
            <w:tcW w:w="1654" w:type="dxa"/>
            <w:tcBorders>
              <w:top w:val="single" w:sz="4" w:space="0" w:color="auto"/>
              <w:left w:val="single" w:sz="4" w:space="0" w:color="auto"/>
              <w:bottom w:val="single" w:sz="4" w:space="0" w:color="auto"/>
            </w:tcBorders>
            <w:shd w:val="clear" w:color="auto" w:fill="auto"/>
          </w:tcPr>
          <w:p w:rsidR="00A6311B" w:rsidRDefault="00B00909" w:rsidP="00F029A0">
            <w:pPr>
              <w:pStyle w:val="Text"/>
              <w:spacing w:before="100" w:after="100"/>
              <w:jc w:val="center"/>
              <w:rPr>
                <w:sz w:val="16"/>
                <w:szCs w:val="16"/>
              </w:rPr>
            </w:pPr>
            <w:r>
              <w:rPr>
                <w:sz w:val="16"/>
                <w:szCs w:val="16"/>
              </w:rPr>
              <w:fldChar w:fldCharType="begin"/>
            </w:r>
            <w:r>
              <w:rPr>
                <w:sz w:val="16"/>
                <w:szCs w:val="16"/>
              </w:rPr>
              <w:instrText xml:space="preserve"> PAGEREF CONTENTS \h </w:instrText>
            </w:r>
            <w:r>
              <w:rPr>
                <w:sz w:val="16"/>
                <w:szCs w:val="16"/>
              </w:rPr>
            </w:r>
            <w:r>
              <w:rPr>
                <w:sz w:val="16"/>
                <w:szCs w:val="16"/>
              </w:rPr>
              <w:fldChar w:fldCharType="separate"/>
            </w:r>
            <w:r w:rsidR="00791D73">
              <w:rPr>
                <w:noProof/>
                <w:sz w:val="16"/>
                <w:szCs w:val="16"/>
              </w:rPr>
              <w:t>3</w:t>
            </w:r>
            <w:r>
              <w:rPr>
                <w:sz w:val="16"/>
                <w:szCs w:val="16"/>
              </w:rPr>
              <w:fldChar w:fldCharType="end"/>
            </w:r>
          </w:p>
          <w:p w:rsidR="00B00909" w:rsidRPr="00112138" w:rsidRDefault="00B00909" w:rsidP="00F029A0">
            <w:pPr>
              <w:pStyle w:val="Text"/>
              <w:spacing w:before="100" w:after="100"/>
              <w:jc w:val="center"/>
              <w:rPr>
                <w:sz w:val="16"/>
                <w:szCs w:val="16"/>
              </w:rPr>
            </w:pPr>
            <w:r>
              <w:rPr>
                <w:sz w:val="16"/>
                <w:szCs w:val="16"/>
              </w:rPr>
              <w:fldChar w:fldCharType="begin"/>
            </w:r>
            <w:r>
              <w:rPr>
                <w:sz w:val="16"/>
                <w:szCs w:val="16"/>
              </w:rPr>
              <w:instrText xml:space="preserve"> PAGEREF GLOSSARY \h </w:instrText>
            </w:r>
            <w:r>
              <w:rPr>
                <w:sz w:val="16"/>
                <w:szCs w:val="16"/>
              </w:rPr>
            </w:r>
            <w:r>
              <w:rPr>
                <w:sz w:val="16"/>
                <w:szCs w:val="16"/>
              </w:rPr>
              <w:fldChar w:fldCharType="separate"/>
            </w:r>
            <w:r w:rsidR="00791D73">
              <w:rPr>
                <w:noProof/>
                <w:sz w:val="16"/>
                <w:szCs w:val="16"/>
              </w:rPr>
              <w:t>101</w:t>
            </w:r>
            <w:r>
              <w:rPr>
                <w:sz w:val="16"/>
                <w:szCs w:val="16"/>
              </w:rPr>
              <w:fldChar w:fldCharType="end"/>
            </w:r>
          </w:p>
        </w:tc>
      </w:tr>
      <w:tr w:rsidR="00A6311B" w:rsidRPr="00112138" w:rsidTr="00F029A0">
        <w:trPr>
          <w:cantSplit/>
        </w:trPr>
        <w:tc>
          <w:tcPr>
            <w:tcW w:w="1548" w:type="dxa"/>
            <w:vMerge/>
            <w:tcBorders>
              <w:right w:val="single" w:sz="4" w:space="0" w:color="auto"/>
            </w:tcBorders>
          </w:tcPr>
          <w:p w:rsidR="00A6311B" w:rsidRPr="00112138" w:rsidRDefault="00A6311B" w:rsidP="00F029A0">
            <w:pPr>
              <w:pStyle w:val="Text"/>
              <w:spacing w:before="100" w:after="100"/>
              <w:rPr>
                <w:b/>
                <w:bCs/>
                <w:sz w:val="16"/>
                <w:szCs w:val="16"/>
              </w:rPr>
            </w:pPr>
          </w:p>
        </w:tc>
        <w:tc>
          <w:tcPr>
            <w:tcW w:w="4122" w:type="dxa"/>
            <w:tcBorders>
              <w:top w:val="single" w:sz="4" w:space="0" w:color="auto"/>
              <w:left w:val="single" w:sz="4" w:space="0" w:color="auto"/>
              <w:bottom w:val="single" w:sz="4" w:space="0" w:color="auto"/>
              <w:right w:val="single" w:sz="4" w:space="0" w:color="auto"/>
            </w:tcBorders>
          </w:tcPr>
          <w:p w:rsidR="00A6311B" w:rsidRPr="00112138" w:rsidRDefault="00A6311B" w:rsidP="00A6311B">
            <w:pPr>
              <w:pStyle w:val="Text"/>
              <w:numPr>
                <w:ilvl w:val="0"/>
                <w:numId w:val="113"/>
              </w:numPr>
              <w:tabs>
                <w:tab w:val="clear" w:pos="360"/>
                <w:tab w:val="num" w:pos="252"/>
              </w:tabs>
              <w:spacing w:before="100" w:after="100"/>
              <w:ind w:left="252" w:hanging="252"/>
              <w:rPr>
                <w:b/>
                <w:sz w:val="16"/>
                <w:szCs w:val="16"/>
              </w:rPr>
            </w:pPr>
            <w:r w:rsidRPr="00112138">
              <w:rPr>
                <w:b/>
                <w:sz w:val="16"/>
                <w:szCs w:val="16"/>
              </w:rPr>
              <w:t>Public availability</w:t>
            </w:r>
          </w:p>
        </w:tc>
        <w:tc>
          <w:tcPr>
            <w:tcW w:w="2268" w:type="dxa"/>
            <w:tcBorders>
              <w:top w:val="single" w:sz="4" w:space="0" w:color="auto"/>
              <w:left w:val="single" w:sz="4" w:space="0" w:color="auto"/>
              <w:bottom w:val="single" w:sz="4" w:space="0" w:color="auto"/>
            </w:tcBorders>
            <w:shd w:val="clear" w:color="auto" w:fill="auto"/>
          </w:tcPr>
          <w:p w:rsidR="00A6311B" w:rsidRPr="00112138" w:rsidRDefault="00A6311B" w:rsidP="00F029A0">
            <w:pPr>
              <w:pStyle w:val="Text"/>
              <w:spacing w:before="100" w:after="100"/>
              <w:rPr>
                <w:sz w:val="16"/>
                <w:szCs w:val="16"/>
              </w:rPr>
            </w:pPr>
            <w:r w:rsidRPr="00112138">
              <w:rPr>
                <w:sz w:val="16"/>
                <w:szCs w:val="16"/>
              </w:rPr>
              <w:t xml:space="preserve">ARRs – </w:t>
            </w:r>
            <w:r>
              <w:rPr>
                <w:sz w:val="16"/>
                <w:szCs w:val="16"/>
              </w:rPr>
              <w:t>section 9</w:t>
            </w:r>
            <w:r w:rsidRPr="00562CEA">
              <w:rPr>
                <w:sz w:val="16"/>
                <w:szCs w:val="16"/>
              </w:rPr>
              <w:t>.2</w:t>
            </w:r>
          </w:p>
        </w:tc>
        <w:tc>
          <w:tcPr>
            <w:tcW w:w="1654" w:type="dxa"/>
            <w:tcBorders>
              <w:top w:val="single" w:sz="4" w:space="0" w:color="auto"/>
              <w:left w:val="single" w:sz="4" w:space="0" w:color="auto"/>
              <w:bottom w:val="single" w:sz="4" w:space="0" w:color="auto"/>
            </w:tcBorders>
            <w:shd w:val="clear" w:color="auto" w:fill="auto"/>
          </w:tcPr>
          <w:p w:rsidR="00A6311B" w:rsidRPr="00112138" w:rsidRDefault="00B00909" w:rsidP="00F029A0">
            <w:pPr>
              <w:pStyle w:val="Text"/>
              <w:spacing w:before="100" w:after="100"/>
              <w:jc w:val="center"/>
              <w:rPr>
                <w:sz w:val="16"/>
                <w:szCs w:val="16"/>
              </w:rPr>
            </w:pPr>
            <w:r>
              <w:rPr>
                <w:sz w:val="16"/>
                <w:szCs w:val="16"/>
              </w:rPr>
              <w:fldChar w:fldCharType="begin"/>
            </w:r>
            <w:r>
              <w:rPr>
                <w:sz w:val="16"/>
                <w:szCs w:val="16"/>
              </w:rPr>
              <w:instrText xml:space="preserve"> PAGEREF PUBLIC_AVAILABLITY \h </w:instrText>
            </w:r>
            <w:r>
              <w:rPr>
                <w:sz w:val="16"/>
                <w:szCs w:val="16"/>
              </w:rPr>
            </w:r>
            <w:r>
              <w:rPr>
                <w:sz w:val="16"/>
                <w:szCs w:val="16"/>
              </w:rPr>
              <w:fldChar w:fldCharType="separate"/>
            </w:r>
            <w:r w:rsidR="00791D73">
              <w:rPr>
                <w:noProof/>
                <w:sz w:val="16"/>
                <w:szCs w:val="16"/>
              </w:rPr>
              <w:t>4</w:t>
            </w:r>
            <w:r>
              <w:rPr>
                <w:sz w:val="16"/>
                <w:szCs w:val="16"/>
              </w:rPr>
              <w:fldChar w:fldCharType="end"/>
            </w:r>
          </w:p>
        </w:tc>
      </w:tr>
      <w:tr w:rsidR="00A6311B" w:rsidRPr="00112138" w:rsidTr="00F029A0">
        <w:trPr>
          <w:cantSplit/>
        </w:trPr>
        <w:tc>
          <w:tcPr>
            <w:tcW w:w="1548" w:type="dxa"/>
            <w:vMerge/>
            <w:tcBorders>
              <w:right w:val="single" w:sz="4" w:space="0" w:color="auto"/>
            </w:tcBorders>
          </w:tcPr>
          <w:p w:rsidR="00A6311B" w:rsidRPr="00112138" w:rsidRDefault="00A6311B" w:rsidP="00F029A0">
            <w:pPr>
              <w:pStyle w:val="Text"/>
              <w:spacing w:before="100" w:after="100"/>
              <w:rPr>
                <w:b/>
                <w:bCs/>
                <w:sz w:val="16"/>
                <w:szCs w:val="16"/>
              </w:rPr>
            </w:pPr>
          </w:p>
        </w:tc>
        <w:tc>
          <w:tcPr>
            <w:tcW w:w="4122" w:type="dxa"/>
            <w:tcBorders>
              <w:top w:val="single" w:sz="4" w:space="0" w:color="auto"/>
              <w:left w:val="single" w:sz="4" w:space="0" w:color="auto"/>
              <w:bottom w:val="single" w:sz="4" w:space="0" w:color="auto"/>
              <w:right w:val="single" w:sz="4" w:space="0" w:color="auto"/>
            </w:tcBorders>
          </w:tcPr>
          <w:p w:rsidR="00A6311B" w:rsidRPr="00112138" w:rsidRDefault="00A6311B" w:rsidP="00A6311B">
            <w:pPr>
              <w:pStyle w:val="Text"/>
              <w:numPr>
                <w:ilvl w:val="0"/>
                <w:numId w:val="113"/>
              </w:numPr>
              <w:tabs>
                <w:tab w:val="clear" w:pos="360"/>
                <w:tab w:val="num" w:pos="252"/>
              </w:tabs>
              <w:spacing w:before="100" w:after="100"/>
              <w:ind w:left="252" w:hanging="252"/>
              <w:rPr>
                <w:b/>
                <w:sz w:val="16"/>
                <w:szCs w:val="16"/>
              </w:rPr>
            </w:pPr>
            <w:r w:rsidRPr="00112138">
              <w:rPr>
                <w:b/>
                <w:sz w:val="16"/>
                <w:szCs w:val="16"/>
              </w:rPr>
              <w:t>Interpreter service statement</w:t>
            </w:r>
          </w:p>
        </w:tc>
        <w:tc>
          <w:tcPr>
            <w:tcW w:w="2268" w:type="dxa"/>
            <w:tcBorders>
              <w:top w:val="single" w:sz="4" w:space="0" w:color="auto"/>
              <w:left w:val="single" w:sz="4" w:space="0" w:color="auto"/>
              <w:bottom w:val="single" w:sz="4" w:space="0" w:color="auto"/>
            </w:tcBorders>
            <w:shd w:val="clear" w:color="auto" w:fill="auto"/>
          </w:tcPr>
          <w:p w:rsidR="00A6311B" w:rsidRDefault="00A6311B" w:rsidP="00F029A0">
            <w:pPr>
              <w:pStyle w:val="Text"/>
              <w:spacing w:before="100" w:after="100"/>
              <w:rPr>
                <w:i/>
                <w:sz w:val="16"/>
                <w:szCs w:val="16"/>
              </w:rPr>
            </w:pPr>
            <w:r w:rsidRPr="00112138">
              <w:rPr>
                <w:i/>
                <w:sz w:val="16"/>
                <w:szCs w:val="16"/>
              </w:rPr>
              <w:t>Queensland Government Language Services Policy</w:t>
            </w:r>
          </w:p>
          <w:p w:rsidR="00A6311B" w:rsidRPr="00EC47B7" w:rsidRDefault="00A6311B" w:rsidP="00F029A0">
            <w:pPr>
              <w:pStyle w:val="Text"/>
              <w:spacing w:before="100" w:after="100"/>
              <w:rPr>
                <w:sz w:val="16"/>
                <w:szCs w:val="16"/>
              </w:rPr>
            </w:pPr>
            <w:r>
              <w:rPr>
                <w:sz w:val="16"/>
                <w:szCs w:val="16"/>
              </w:rPr>
              <w:t>ARRs – section 9.3</w:t>
            </w:r>
          </w:p>
        </w:tc>
        <w:tc>
          <w:tcPr>
            <w:tcW w:w="1654" w:type="dxa"/>
            <w:tcBorders>
              <w:top w:val="single" w:sz="4" w:space="0" w:color="auto"/>
              <w:left w:val="single" w:sz="4" w:space="0" w:color="auto"/>
              <w:bottom w:val="single" w:sz="4" w:space="0" w:color="auto"/>
            </w:tcBorders>
            <w:shd w:val="clear" w:color="auto" w:fill="auto"/>
          </w:tcPr>
          <w:p w:rsidR="00A6311B" w:rsidRPr="00112138" w:rsidRDefault="00B00909" w:rsidP="00F029A0">
            <w:pPr>
              <w:pStyle w:val="Text"/>
              <w:spacing w:before="100" w:after="100"/>
              <w:jc w:val="center"/>
              <w:rPr>
                <w:sz w:val="16"/>
                <w:szCs w:val="16"/>
              </w:rPr>
            </w:pPr>
            <w:r>
              <w:rPr>
                <w:sz w:val="16"/>
                <w:szCs w:val="16"/>
              </w:rPr>
              <w:fldChar w:fldCharType="begin"/>
            </w:r>
            <w:r>
              <w:rPr>
                <w:sz w:val="16"/>
                <w:szCs w:val="16"/>
              </w:rPr>
              <w:instrText xml:space="preserve"> PAGEREF INTERPRETER \h </w:instrText>
            </w:r>
            <w:r>
              <w:rPr>
                <w:sz w:val="16"/>
                <w:szCs w:val="16"/>
              </w:rPr>
            </w:r>
            <w:r>
              <w:rPr>
                <w:sz w:val="16"/>
                <w:szCs w:val="16"/>
              </w:rPr>
              <w:fldChar w:fldCharType="separate"/>
            </w:r>
            <w:r w:rsidR="00791D73">
              <w:rPr>
                <w:noProof/>
                <w:sz w:val="16"/>
                <w:szCs w:val="16"/>
              </w:rPr>
              <w:t>4</w:t>
            </w:r>
            <w:r>
              <w:rPr>
                <w:sz w:val="16"/>
                <w:szCs w:val="16"/>
              </w:rPr>
              <w:fldChar w:fldCharType="end"/>
            </w:r>
          </w:p>
        </w:tc>
      </w:tr>
      <w:tr w:rsidR="00A6311B" w:rsidRPr="00112138" w:rsidTr="00F029A0">
        <w:trPr>
          <w:cantSplit/>
        </w:trPr>
        <w:tc>
          <w:tcPr>
            <w:tcW w:w="1548" w:type="dxa"/>
            <w:vMerge/>
            <w:tcBorders>
              <w:right w:val="single" w:sz="4" w:space="0" w:color="auto"/>
            </w:tcBorders>
          </w:tcPr>
          <w:p w:rsidR="00A6311B" w:rsidRPr="00112138" w:rsidRDefault="00A6311B" w:rsidP="00F029A0">
            <w:pPr>
              <w:pStyle w:val="Text"/>
              <w:spacing w:before="100" w:after="100"/>
              <w:rPr>
                <w:b/>
                <w:bCs/>
                <w:sz w:val="16"/>
                <w:szCs w:val="16"/>
              </w:rPr>
            </w:pPr>
          </w:p>
        </w:tc>
        <w:tc>
          <w:tcPr>
            <w:tcW w:w="4122" w:type="dxa"/>
            <w:tcBorders>
              <w:top w:val="single" w:sz="4" w:space="0" w:color="auto"/>
              <w:left w:val="single" w:sz="4" w:space="0" w:color="auto"/>
              <w:bottom w:val="single" w:sz="4" w:space="0" w:color="auto"/>
              <w:right w:val="single" w:sz="4" w:space="0" w:color="auto"/>
            </w:tcBorders>
          </w:tcPr>
          <w:p w:rsidR="00A6311B" w:rsidRPr="00112138" w:rsidRDefault="00A6311B" w:rsidP="00A6311B">
            <w:pPr>
              <w:pStyle w:val="Text"/>
              <w:numPr>
                <w:ilvl w:val="0"/>
                <w:numId w:val="113"/>
              </w:numPr>
              <w:tabs>
                <w:tab w:val="clear" w:pos="360"/>
                <w:tab w:val="num" w:pos="252"/>
              </w:tabs>
              <w:spacing w:before="100" w:after="100"/>
              <w:ind w:left="252" w:hanging="252"/>
              <w:rPr>
                <w:b/>
                <w:sz w:val="16"/>
                <w:szCs w:val="16"/>
              </w:rPr>
            </w:pPr>
            <w:r w:rsidRPr="00112138">
              <w:rPr>
                <w:b/>
                <w:sz w:val="16"/>
                <w:szCs w:val="16"/>
              </w:rPr>
              <w:t>Copyright notice</w:t>
            </w:r>
          </w:p>
        </w:tc>
        <w:tc>
          <w:tcPr>
            <w:tcW w:w="2268" w:type="dxa"/>
            <w:tcBorders>
              <w:top w:val="single" w:sz="4" w:space="0" w:color="auto"/>
              <w:left w:val="single" w:sz="4" w:space="0" w:color="auto"/>
              <w:bottom w:val="single" w:sz="4" w:space="0" w:color="auto"/>
            </w:tcBorders>
            <w:shd w:val="clear" w:color="auto" w:fill="auto"/>
          </w:tcPr>
          <w:p w:rsidR="00A6311B" w:rsidRDefault="00A6311B" w:rsidP="00F029A0">
            <w:pPr>
              <w:pStyle w:val="Text"/>
              <w:spacing w:before="100" w:after="100"/>
              <w:rPr>
                <w:i/>
                <w:sz w:val="16"/>
                <w:szCs w:val="16"/>
              </w:rPr>
            </w:pPr>
            <w:r w:rsidRPr="00D66B0B">
              <w:rPr>
                <w:i/>
                <w:sz w:val="16"/>
                <w:szCs w:val="16"/>
              </w:rPr>
              <w:t>Copyright Act 1968</w:t>
            </w:r>
          </w:p>
          <w:p w:rsidR="00A6311B" w:rsidRPr="00EC47B7" w:rsidRDefault="00A6311B" w:rsidP="00F029A0">
            <w:pPr>
              <w:pStyle w:val="Text"/>
              <w:spacing w:before="100" w:after="100"/>
              <w:rPr>
                <w:sz w:val="16"/>
                <w:szCs w:val="16"/>
              </w:rPr>
            </w:pPr>
            <w:r>
              <w:rPr>
                <w:sz w:val="16"/>
                <w:szCs w:val="16"/>
              </w:rPr>
              <w:t>ARRs – section 9.4</w:t>
            </w:r>
          </w:p>
        </w:tc>
        <w:tc>
          <w:tcPr>
            <w:tcW w:w="1654" w:type="dxa"/>
            <w:tcBorders>
              <w:top w:val="single" w:sz="4" w:space="0" w:color="auto"/>
              <w:left w:val="single" w:sz="4" w:space="0" w:color="auto"/>
              <w:bottom w:val="single" w:sz="4" w:space="0" w:color="auto"/>
            </w:tcBorders>
            <w:shd w:val="clear" w:color="auto" w:fill="auto"/>
          </w:tcPr>
          <w:p w:rsidR="00A6311B" w:rsidRPr="00112138" w:rsidRDefault="00B00909" w:rsidP="00F029A0">
            <w:pPr>
              <w:pStyle w:val="Text"/>
              <w:spacing w:before="100" w:after="100"/>
              <w:jc w:val="center"/>
              <w:rPr>
                <w:sz w:val="16"/>
                <w:szCs w:val="16"/>
              </w:rPr>
            </w:pPr>
            <w:r>
              <w:rPr>
                <w:sz w:val="16"/>
                <w:szCs w:val="16"/>
              </w:rPr>
              <w:fldChar w:fldCharType="begin"/>
            </w:r>
            <w:r>
              <w:rPr>
                <w:sz w:val="16"/>
                <w:szCs w:val="16"/>
              </w:rPr>
              <w:instrText xml:space="preserve"> PAGEREF COPYRIGHT \h </w:instrText>
            </w:r>
            <w:r>
              <w:rPr>
                <w:sz w:val="16"/>
                <w:szCs w:val="16"/>
              </w:rPr>
            </w:r>
            <w:r>
              <w:rPr>
                <w:sz w:val="16"/>
                <w:szCs w:val="16"/>
              </w:rPr>
              <w:fldChar w:fldCharType="separate"/>
            </w:r>
            <w:r w:rsidR="00791D73">
              <w:rPr>
                <w:noProof/>
                <w:sz w:val="16"/>
                <w:szCs w:val="16"/>
              </w:rPr>
              <w:t>4</w:t>
            </w:r>
            <w:r>
              <w:rPr>
                <w:sz w:val="16"/>
                <w:szCs w:val="16"/>
              </w:rPr>
              <w:fldChar w:fldCharType="end"/>
            </w:r>
          </w:p>
        </w:tc>
      </w:tr>
      <w:tr w:rsidR="00A6311B" w:rsidRPr="00112138" w:rsidTr="00F029A0">
        <w:trPr>
          <w:cantSplit/>
        </w:trPr>
        <w:tc>
          <w:tcPr>
            <w:tcW w:w="1548" w:type="dxa"/>
            <w:vMerge/>
            <w:tcBorders>
              <w:bottom w:val="single" w:sz="4" w:space="0" w:color="auto"/>
              <w:right w:val="single" w:sz="4" w:space="0" w:color="auto"/>
            </w:tcBorders>
          </w:tcPr>
          <w:p w:rsidR="00A6311B" w:rsidRPr="00112138" w:rsidRDefault="00A6311B" w:rsidP="00F029A0">
            <w:pPr>
              <w:pStyle w:val="Text"/>
              <w:spacing w:before="100" w:after="100"/>
              <w:rPr>
                <w:b/>
                <w:bCs/>
                <w:sz w:val="16"/>
                <w:szCs w:val="16"/>
              </w:rPr>
            </w:pPr>
          </w:p>
        </w:tc>
        <w:tc>
          <w:tcPr>
            <w:tcW w:w="4122" w:type="dxa"/>
            <w:tcBorders>
              <w:top w:val="single" w:sz="4" w:space="0" w:color="auto"/>
              <w:left w:val="single" w:sz="4" w:space="0" w:color="auto"/>
              <w:bottom w:val="single" w:sz="4" w:space="0" w:color="auto"/>
              <w:right w:val="single" w:sz="4" w:space="0" w:color="auto"/>
            </w:tcBorders>
          </w:tcPr>
          <w:p w:rsidR="00A6311B" w:rsidRPr="00112138" w:rsidRDefault="00A6311B" w:rsidP="00A6311B">
            <w:pPr>
              <w:pStyle w:val="Text"/>
              <w:numPr>
                <w:ilvl w:val="0"/>
                <w:numId w:val="113"/>
              </w:numPr>
              <w:tabs>
                <w:tab w:val="clear" w:pos="360"/>
                <w:tab w:val="num" w:pos="252"/>
              </w:tabs>
              <w:spacing w:before="100" w:after="100"/>
              <w:ind w:left="252" w:hanging="252"/>
              <w:rPr>
                <w:b/>
                <w:sz w:val="16"/>
                <w:szCs w:val="16"/>
              </w:rPr>
            </w:pPr>
            <w:r w:rsidRPr="00112138">
              <w:rPr>
                <w:b/>
                <w:sz w:val="16"/>
                <w:szCs w:val="16"/>
              </w:rPr>
              <w:t>Information Licensing</w:t>
            </w:r>
          </w:p>
        </w:tc>
        <w:tc>
          <w:tcPr>
            <w:tcW w:w="2268" w:type="dxa"/>
            <w:tcBorders>
              <w:top w:val="single" w:sz="4" w:space="0" w:color="auto"/>
              <w:left w:val="single" w:sz="4" w:space="0" w:color="auto"/>
              <w:bottom w:val="single" w:sz="4" w:space="0" w:color="auto"/>
            </w:tcBorders>
            <w:shd w:val="clear" w:color="auto" w:fill="auto"/>
          </w:tcPr>
          <w:p w:rsidR="00A6311B" w:rsidRPr="00207624" w:rsidRDefault="00A6311B" w:rsidP="00F029A0">
            <w:pPr>
              <w:pStyle w:val="Text"/>
              <w:spacing w:before="100" w:after="100"/>
              <w:rPr>
                <w:i/>
                <w:sz w:val="16"/>
                <w:szCs w:val="16"/>
              </w:rPr>
            </w:pPr>
            <w:r w:rsidRPr="00B34006">
              <w:rPr>
                <w:i/>
                <w:sz w:val="16"/>
                <w:szCs w:val="16"/>
              </w:rPr>
              <w:t>QGEA – Information Licensing</w:t>
            </w:r>
          </w:p>
          <w:p w:rsidR="00A6311B" w:rsidRPr="00EC47B7" w:rsidRDefault="00A6311B" w:rsidP="00F029A0">
            <w:pPr>
              <w:pStyle w:val="Text"/>
              <w:spacing w:before="100" w:after="100"/>
              <w:rPr>
                <w:sz w:val="16"/>
                <w:szCs w:val="16"/>
              </w:rPr>
            </w:pPr>
            <w:r>
              <w:rPr>
                <w:sz w:val="16"/>
                <w:szCs w:val="16"/>
              </w:rPr>
              <w:t>ARRs – section 9.5</w:t>
            </w:r>
          </w:p>
        </w:tc>
        <w:tc>
          <w:tcPr>
            <w:tcW w:w="1654" w:type="dxa"/>
            <w:tcBorders>
              <w:top w:val="single" w:sz="4" w:space="0" w:color="auto"/>
              <w:left w:val="single" w:sz="4" w:space="0" w:color="auto"/>
              <w:bottom w:val="single" w:sz="4" w:space="0" w:color="auto"/>
            </w:tcBorders>
            <w:shd w:val="clear" w:color="auto" w:fill="auto"/>
          </w:tcPr>
          <w:p w:rsidR="00A6311B" w:rsidRPr="00112138" w:rsidRDefault="00B00909" w:rsidP="00F029A0">
            <w:pPr>
              <w:pStyle w:val="Text"/>
              <w:spacing w:before="100" w:after="100"/>
              <w:jc w:val="center"/>
              <w:rPr>
                <w:sz w:val="16"/>
                <w:szCs w:val="16"/>
              </w:rPr>
            </w:pPr>
            <w:r>
              <w:rPr>
                <w:sz w:val="16"/>
                <w:szCs w:val="16"/>
              </w:rPr>
              <w:fldChar w:fldCharType="begin"/>
            </w:r>
            <w:r>
              <w:rPr>
                <w:sz w:val="16"/>
                <w:szCs w:val="16"/>
              </w:rPr>
              <w:instrText xml:space="preserve"> PAGEREF COPYRIGHT \h </w:instrText>
            </w:r>
            <w:r>
              <w:rPr>
                <w:sz w:val="16"/>
                <w:szCs w:val="16"/>
              </w:rPr>
            </w:r>
            <w:r>
              <w:rPr>
                <w:sz w:val="16"/>
                <w:szCs w:val="16"/>
              </w:rPr>
              <w:fldChar w:fldCharType="separate"/>
            </w:r>
            <w:r w:rsidR="00791D73">
              <w:rPr>
                <w:noProof/>
                <w:sz w:val="16"/>
                <w:szCs w:val="16"/>
              </w:rPr>
              <w:t>4</w:t>
            </w:r>
            <w:r>
              <w:rPr>
                <w:sz w:val="16"/>
                <w:szCs w:val="16"/>
              </w:rPr>
              <w:fldChar w:fldCharType="end"/>
            </w:r>
          </w:p>
        </w:tc>
      </w:tr>
      <w:tr w:rsidR="00A6311B" w:rsidRPr="00112138" w:rsidTr="00F029A0">
        <w:trPr>
          <w:cantSplit/>
          <w:trHeight w:val="485"/>
        </w:trPr>
        <w:tc>
          <w:tcPr>
            <w:tcW w:w="1548" w:type="dxa"/>
            <w:vMerge w:val="restart"/>
            <w:tcBorders>
              <w:top w:val="single" w:sz="4" w:space="0" w:color="auto"/>
              <w:right w:val="single" w:sz="4" w:space="0" w:color="auto"/>
            </w:tcBorders>
          </w:tcPr>
          <w:p w:rsidR="00A6311B" w:rsidRPr="00112138" w:rsidRDefault="00A6311B" w:rsidP="00F029A0">
            <w:pPr>
              <w:pStyle w:val="Text"/>
              <w:spacing w:before="100" w:after="100"/>
              <w:rPr>
                <w:b/>
                <w:bCs/>
                <w:sz w:val="16"/>
                <w:szCs w:val="16"/>
              </w:rPr>
            </w:pPr>
            <w:r w:rsidRPr="00112138">
              <w:rPr>
                <w:b/>
                <w:bCs/>
                <w:sz w:val="16"/>
                <w:szCs w:val="16"/>
              </w:rPr>
              <w:t>General information</w:t>
            </w:r>
          </w:p>
        </w:tc>
        <w:tc>
          <w:tcPr>
            <w:tcW w:w="4122" w:type="dxa"/>
            <w:tcBorders>
              <w:top w:val="single" w:sz="4" w:space="0" w:color="auto"/>
              <w:left w:val="single" w:sz="4" w:space="0" w:color="auto"/>
              <w:bottom w:val="single" w:sz="4" w:space="0" w:color="auto"/>
              <w:right w:val="single" w:sz="4" w:space="0" w:color="auto"/>
            </w:tcBorders>
          </w:tcPr>
          <w:p w:rsidR="00A6311B" w:rsidRPr="00C022DE" w:rsidRDefault="00A6311B" w:rsidP="00A6311B">
            <w:pPr>
              <w:pStyle w:val="Text"/>
              <w:numPr>
                <w:ilvl w:val="0"/>
                <w:numId w:val="113"/>
              </w:numPr>
              <w:tabs>
                <w:tab w:val="clear" w:pos="360"/>
                <w:tab w:val="num" w:pos="252"/>
              </w:tabs>
              <w:spacing w:before="100" w:after="100"/>
              <w:ind w:left="252" w:hanging="252"/>
              <w:rPr>
                <w:b/>
                <w:sz w:val="16"/>
                <w:szCs w:val="16"/>
              </w:rPr>
            </w:pPr>
            <w:r w:rsidRPr="00112138">
              <w:rPr>
                <w:b/>
                <w:sz w:val="16"/>
                <w:szCs w:val="16"/>
              </w:rPr>
              <w:t>Introductory Information</w:t>
            </w:r>
          </w:p>
        </w:tc>
        <w:tc>
          <w:tcPr>
            <w:tcW w:w="2268" w:type="dxa"/>
            <w:tcBorders>
              <w:top w:val="single" w:sz="4" w:space="0" w:color="auto"/>
              <w:left w:val="single" w:sz="4" w:space="0" w:color="auto"/>
              <w:bottom w:val="single" w:sz="4" w:space="0" w:color="auto"/>
            </w:tcBorders>
            <w:shd w:val="clear" w:color="auto" w:fill="auto"/>
          </w:tcPr>
          <w:p w:rsidR="00A6311B" w:rsidRPr="00C022DE" w:rsidRDefault="00A6311B" w:rsidP="00F029A0">
            <w:pPr>
              <w:pStyle w:val="Text"/>
              <w:spacing w:before="100" w:after="100"/>
              <w:rPr>
                <w:sz w:val="16"/>
                <w:szCs w:val="16"/>
                <w:lang w:val="fr-FR"/>
              </w:rPr>
            </w:pPr>
            <w:r w:rsidRPr="00562CEA">
              <w:rPr>
                <w:sz w:val="16"/>
                <w:szCs w:val="16"/>
                <w:lang w:val="fr-FR"/>
              </w:rPr>
              <w:t xml:space="preserve">ARRs – section </w:t>
            </w:r>
            <w:r>
              <w:rPr>
                <w:sz w:val="16"/>
                <w:szCs w:val="16"/>
              </w:rPr>
              <w:t>10</w:t>
            </w:r>
            <w:r w:rsidRPr="00562CEA">
              <w:rPr>
                <w:sz w:val="16"/>
                <w:szCs w:val="16"/>
              </w:rPr>
              <w:t>.1</w:t>
            </w:r>
          </w:p>
        </w:tc>
        <w:tc>
          <w:tcPr>
            <w:tcW w:w="1654" w:type="dxa"/>
            <w:tcBorders>
              <w:top w:val="single" w:sz="4" w:space="0" w:color="auto"/>
              <w:left w:val="single" w:sz="4" w:space="0" w:color="auto"/>
              <w:bottom w:val="single" w:sz="4" w:space="0" w:color="auto"/>
            </w:tcBorders>
            <w:shd w:val="clear" w:color="auto" w:fill="auto"/>
          </w:tcPr>
          <w:p w:rsidR="00A6311B" w:rsidRPr="00112138" w:rsidRDefault="004B1A68" w:rsidP="00F029A0">
            <w:pPr>
              <w:pStyle w:val="Text"/>
              <w:spacing w:before="100" w:after="100"/>
              <w:jc w:val="center"/>
              <w:rPr>
                <w:sz w:val="16"/>
                <w:szCs w:val="16"/>
              </w:rPr>
            </w:pPr>
            <w:r>
              <w:rPr>
                <w:sz w:val="16"/>
                <w:szCs w:val="16"/>
              </w:rPr>
              <w:fldChar w:fldCharType="begin"/>
            </w:r>
            <w:r>
              <w:rPr>
                <w:sz w:val="16"/>
                <w:szCs w:val="16"/>
              </w:rPr>
              <w:instrText xml:space="preserve"> PAGEREF DG_MESSAGE \h </w:instrText>
            </w:r>
            <w:r>
              <w:rPr>
                <w:sz w:val="16"/>
                <w:szCs w:val="16"/>
              </w:rPr>
            </w:r>
            <w:r>
              <w:rPr>
                <w:sz w:val="16"/>
                <w:szCs w:val="16"/>
              </w:rPr>
              <w:fldChar w:fldCharType="separate"/>
            </w:r>
            <w:r w:rsidR="00791D73">
              <w:rPr>
                <w:noProof/>
                <w:sz w:val="16"/>
                <w:szCs w:val="16"/>
              </w:rPr>
              <w:t>6</w:t>
            </w:r>
            <w:r>
              <w:rPr>
                <w:sz w:val="16"/>
                <w:szCs w:val="16"/>
              </w:rPr>
              <w:fldChar w:fldCharType="end"/>
            </w:r>
            <w:r w:rsidR="00B00909">
              <w:rPr>
                <w:sz w:val="16"/>
                <w:szCs w:val="16"/>
              </w:rPr>
              <w:t>-</w:t>
            </w:r>
            <w:r w:rsidR="00B00909">
              <w:rPr>
                <w:sz w:val="16"/>
                <w:szCs w:val="16"/>
              </w:rPr>
              <w:fldChar w:fldCharType="begin"/>
            </w:r>
            <w:r w:rsidR="00B00909">
              <w:rPr>
                <w:sz w:val="16"/>
                <w:szCs w:val="16"/>
              </w:rPr>
              <w:instrText xml:space="preserve"> PAGEREF ORGANISATIONAL_STRUCTURE_CHART \h </w:instrText>
            </w:r>
            <w:r w:rsidR="00B00909">
              <w:rPr>
                <w:sz w:val="16"/>
                <w:szCs w:val="16"/>
              </w:rPr>
            </w:r>
            <w:r w:rsidR="00B00909">
              <w:rPr>
                <w:sz w:val="16"/>
                <w:szCs w:val="16"/>
              </w:rPr>
              <w:fldChar w:fldCharType="separate"/>
            </w:r>
            <w:r w:rsidR="00791D73">
              <w:rPr>
                <w:noProof/>
                <w:sz w:val="16"/>
                <w:szCs w:val="16"/>
              </w:rPr>
              <w:t>14</w:t>
            </w:r>
            <w:r w:rsidR="00B00909">
              <w:rPr>
                <w:sz w:val="16"/>
                <w:szCs w:val="16"/>
              </w:rPr>
              <w:fldChar w:fldCharType="end"/>
            </w:r>
          </w:p>
        </w:tc>
      </w:tr>
      <w:tr w:rsidR="00A6311B" w:rsidRPr="00112138" w:rsidTr="00F029A0">
        <w:trPr>
          <w:cantSplit/>
        </w:trPr>
        <w:tc>
          <w:tcPr>
            <w:tcW w:w="1548" w:type="dxa"/>
            <w:vMerge/>
            <w:tcBorders>
              <w:right w:val="single" w:sz="4" w:space="0" w:color="auto"/>
            </w:tcBorders>
          </w:tcPr>
          <w:p w:rsidR="00A6311B" w:rsidRPr="00112138" w:rsidRDefault="00A6311B" w:rsidP="00F029A0">
            <w:pPr>
              <w:pStyle w:val="Text"/>
              <w:spacing w:before="100" w:after="100"/>
              <w:rPr>
                <w:b/>
                <w:bCs/>
                <w:sz w:val="16"/>
                <w:szCs w:val="16"/>
              </w:rPr>
            </w:pPr>
          </w:p>
        </w:tc>
        <w:tc>
          <w:tcPr>
            <w:tcW w:w="4122" w:type="dxa"/>
            <w:tcBorders>
              <w:top w:val="single" w:sz="4" w:space="0" w:color="auto"/>
              <w:left w:val="single" w:sz="4" w:space="0" w:color="auto"/>
              <w:bottom w:val="single" w:sz="4" w:space="0" w:color="auto"/>
              <w:right w:val="single" w:sz="4" w:space="0" w:color="auto"/>
            </w:tcBorders>
          </w:tcPr>
          <w:p w:rsidR="00A6311B" w:rsidRPr="00112138" w:rsidRDefault="00A6311B" w:rsidP="00A6311B">
            <w:pPr>
              <w:pStyle w:val="Text"/>
              <w:numPr>
                <w:ilvl w:val="0"/>
                <w:numId w:val="113"/>
              </w:numPr>
              <w:tabs>
                <w:tab w:val="clear" w:pos="360"/>
                <w:tab w:val="num" w:pos="252"/>
              </w:tabs>
              <w:spacing w:before="100" w:after="100"/>
              <w:ind w:left="252" w:hanging="252"/>
              <w:rPr>
                <w:b/>
                <w:sz w:val="16"/>
                <w:szCs w:val="16"/>
              </w:rPr>
            </w:pPr>
            <w:r w:rsidRPr="00112138">
              <w:rPr>
                <w:b/>
                <w:sz w:val="16"/>
                <w:szCs w:val="16"/>
              </w:rPr>
              <w:t>Agency role and main functions</w:t>
            </w:r>
          </w:p>
        </w:tc>
        <w:tc>
          <w:tcPr>
            <w:tcW w:w="2268" w:type="dxa"/>
            <w:tcBorders>
              <w:top w:val="single" w:sz="4" w:space="0" w:color="auto"/>
              <w:left w:val="single" w:sz="4" w:space="0" w:color="auto"/>
              <w:bottom w:val="single" w:sz="4" w:space="0" w:color="auto"/>
            </w:tcBorders>
            <w:shd w:val="clear" w:color="auto" w:fill="auto"/>
          </w:tcPr>
          <w:p w:rsidR="00A6311B" w:rsidRPr="00562CEA" w:rsidRDefault="00A6311B" w:rsidP="00F029A0">
            <w:pPr>
              <w:pStyle w:val="Text"/>
              <w:spacing w:before="100" w:after="100"/>
              <w:rPr>
                <w:sz w:val="16"/>
                <w:szCs w:val="16"/>
                <w:lang w:val="fr-FR"/>
              </w:rPr>
            </w:pPr>
            <w:r w:rsidRPr="00562CEA">
              <w:rPr>
                <w:sz w:val="16"/>
                <w:szCs w:val="16"/>
                <w:lang w:val="fr-FR"/>
              </w:rPr>
              <w:t xml:space="preserve">ARRs – section </w:t>
            </w:r>
            <w:r>
              <w:rPr>
                <w:sz w:val="16"/>
                <w:szCs w:val="16"/>
              </w:rPr>
              <w:t>10</w:t>
            </w:r>
            <w:r w:rsidRPr="00562CEA">
              <w:rPr>
                <w:sz w:val="16"/>
                <w:szCs w:val="16"/>
              </w:rPr>
              <w:t>.2</w:t>
            </w:r>
          </w:p>
        </w:tc>
        <w:tc>
          <w:tcPr>
            <w:tcW w:w="1654" w:type="dxa"/>
            <w:tcBorders>
              <w:top w:val="single" w:sz="4" w:space="0" w:color="auto"/>
              <w:left w:val="single" w:sz="4" w:space="0" w:color="auto"/>
              <w:bottom w:val="single" w:sz="4" w:space="0" w:color="auto"/>
            </w:tcBorders>
            <w:shd w:val="clear" w:color="auto" w:fill="auto"/>
          </w:tcPr>
          <w:p w:rsidR="00A6311B" w:rsidRPr="00287C77" w:rsidRDefault="00B00909" w:rsidP="00512A50">
            <w:pPr>
              <w:pStyle w:val="Add-Officename"/>
              <w:rPr>
                <w:b w:val="0"/>
                <w:sz w:val="16"/>
                <w:szCs w:val="16"/>
              </w:rPr>
            </w:pPr>
            <w:r w:rsidRPr="00287C77">
              <w:rPr>
                <w:b w:val="0"/>
                <w:sz w:val="16"/>
                <w:szCs w:val="16"/>
              </w:rPr>
              <w:fldChar w:fldCharType="begin"/>
            </w:r>
            <w:r w:rsidRPr="00287C77">
              <w:rPr>
                <w:b w:val="0"/>
                <w:sz w:val="16"/>
                <w:szCs w:val="16"/>
              </w:rPr>
              <w:instrText xml:space="preserve"> PAGEREF OUR_DEPARTMENT \h </w:instrText>
            </w:r>
            <w:r w:rsidRPr="00287C77">
              <w:rPr>
                <w:b w:val="0"/>
                <w:sz w:val="16"/>
                <w:szCs w:val="16"/>
              </w:rPr>
            </w:r>
            <w:r w:rsidRPr="00287C77">
              <w:rPr>
                <w:b w:val="0"/>
                <w:sz w:val="16"/>
                <w:szCs w:val="16"/>
              </w:rPr>
              <w:fldChar w:fldCharType="separate"/>
            </w:r>
            <w:r w:rsidR="00791D73">
              <w:rPr>
                <w:b w:val="0"/>
                <w:noProof/>
                <w:sz w:val="16"/>
                <w:szCs w:val="16"/>
              </w:rPr>
              <w:t>8</w:t>
            </w:r>
            <w:r w:rsidRPr="00287C77">
              <w:rPr>
                <w:b w:val="0"/>
                <w:sz w:val="16"/>
                <w:szCs w:val="16"/>
              </w:rPr>
              <w:fldChar w:fldCharType="end"/>
            </w:r>
            <w:r w:rsidRPr="00287C77">
              <w:rPr>
                <w:b w:val="0"/>
                <w:sz w:val="16"/>
                <w:szCs w:val="16"/>
              </w:rPr>
              <w:t>-</w:t>
            </w:r>
            <w:r w:rsidRPr="00287C77">
              <w:rPr>
                <w:b w:val="0"/>
                <w:sz w:val="16"/>
                <w:szCs w:val="16"/>
              </w:rPr>
              <w:fldChar w:fldCharType="begin"/>
            </w:r>
            <w:r w:rsidRPr="00287C77">
              <w:rPr>
                <w:b w:val="0"/>
                <w:sz w:val="16"/>
                <w:szCs w:val="16"/>
              </w:rPr>
              <w:instrText xml:space="preserve"> PAGEREF OPERATING_ENVIRONMENT \h </w:instrText>
            </w:r>
            <w:r w:rsidRPr="00287C77">
              <w:rPr>
                <w:b w:val="0"/>
                <w:sz w:val="16"/>
                <w:szCs w:val="16"/>
              </w:rPr>
            </w:r>
            <w:r w:rsidRPr="00287C77">
              <w:rPr>
                <w:b w:val="0"/>
                <w:sz w:val="16"/>
                <w:szCs w:val="16"/>
              </w:rPr>
              <w:fldChar w:fldCharType="separate"/>
            </w:r>
            <w:r w:rsidR="00791D73">
              <w:rPr>
                <w:b w:val="0"/>
                <w:noProof/>
                <w:sz w:val="16"/>
                <w:szCs w:val="16"/>
              </w:rPr>
              <w:t>9</w:t>
            </w:r>
            <w:r w:rsidRPr="00287C77">
              <w:rPr>
                <w:b w:val="0"/>
                <w:sz w:val="16"/>
                <w:szCs w:val="16"/>
              </w:rPr>
              <w:fldChar w:fldCharType="end"/>
            </w:r>
            <w:r w:rsidR="006B39C6" w:rsidRPr="00287C77">
              <w:rPr>
                <w:b w:val="0"/>
                <w:sz w:val="16"/>
                <w:szCs w:val="16"/>
              </w:rPr>
              <w:t xml:space="preserve">, </w:t>
            </w:r>
            <w:r w:rsidR="006B39C6" w:rsidRPr="00287C77">
              <w:rPr>
                <w:b w:val="0"/>
                <w:sz w:val="16"/>
                <w:szCs w:val="16"/>
              </w:rPr>
              <w:fldChar w:fldCharType="begin"/>
            </w:r>
            <w:r w:rsidR="006B39C6" w:rsidRPr="00287C77">
              <w:rPr>
                <w:b w:val="0"/>
                <w:sz w:val="16"/>
                <w:szCs w:val="16"/>
              </w:rPr>
              <w:instrText xml:space="preserve"> PAGEREF LEGISLATION \h </w:instrText>
            </w:r>
            <w:r w:rsidR="006B39C6" w:rsidRPr="00287C77">
              <w:rPr>
                <w:b w:val="0"/>
                <w:sz w:val="16"/>
                <w:szCs w:val="16"/>
              </w:rPr>
            </w:r>
            <w:r w:rsidR="006B39C6" w:rsidRPr="00287C77">
              <w:rPr>
                <w:b w:val="0"/>
                <w:sz w:val="16"/>
                <w:szCs w:val="16"/>
              </w:rPr>
              <w:fldChar w:fldCharType="separate"/>
            </w:r>
            <w:r w:rsidR="00791D73">
              <w:rPr>
                <w:b w:val="0"/>
                <w:noProof/>
                <w:sz w:val="16"/>
                <w:szCs w:val="16"/>
              </w:rPr>
              <w:t>89</w:t>
            </w:r>
            <w:r w:rsidR="006B39C6" w:rsidRPr="00287C77">
              <w:rPr>
                <w:b w:val="0"/>
                <w:sz w:val="16"/>
                <w:szCs w:val="16"/>
              </w:rPr>
              <w:fldChar w:fldCharType="end"/>
            </w:r>
            <w:r w:rsidR="00287C77" w:rsidRPr="00287C77">
              <w:rPr>
                <w:b w:val="0"/>
                <w:sz w:val="16"/>
                <w:szCs w:val="16"/>
              </w:rPr>
              <w:t xml:space="preserve">, </w:t>
            </w:r>
            <w:r w:rsidR="00287C77" w:rsidRPr="00287C77">
              <w:rPr>
                <w:b w:val="0"/>
                <w:sz w:val="16"/>
                <w:szCs w:val="16"/>
              </w:rPr>
              <w:fldChar w:fldCharType="begin"/>
            </w:r>
            <w:r w:rsidR="00287C77" w:rsidRPr="00287C77">
              <w:rPr>
                <w:b w:val="0"/>
                <w:sz w:val="16"/>
                <w:szCs w:val="16"/>
              </w:rPr>
              <w:instrText xml:space="preserve"> PAGEREF OUR_LOCATIONS \h </w:instrText>
            </w:r>
            <w:r w:rsidR="00287C77" w:rsidRPr="00287C77">
              <w:rPr>
                <w:b w:val="0"/>
                <w:sz w:val="16"/>
                <w:szCs w:val="16"/>
              </w:rPr>
            </w:r>
            <w:r w:rsidR="00287C77" w:rsidRPr="00287C77">
              <w:rPr>
                <w:b w:val="0"/>
                <w:sz w:val="16"/>
                <w:szCs w:val="16"/>
              </w:rPr>
              <w:fldChar w:fldCharType="separate"/>
            </w:r>
            <w:r w:rsidR="00791D73">
              <w:rPr>
                <w:b w:val="0"/>
                <w:noProof/>
                <w:sz w:val="16"/>
                <w:szCs w:val="16"/>
              </w:rPr>
              <w:t>92</w:t>
            </w:r>
            <w:r w:rsidR="00287C77" w:rsidRPr="00287C77">
              <w:rPr>
                <w:b w:val="0"/>
                <w:sz w:val="16"/>
                <w:szCs w:val="16"/>
              </w:rPr>
              <w:fldChar w:fldCharType="end"/>
            </w:r>
            <w:r w:rsidR="00512A50">
              <w:rPr>
                <w:b w:val="0"/>
                <w:sz w:val="16"/>
                <w:szCs w:val="16"/>
              </w:rPr>
              <w:t xml:space="preserve">, </w:t>
            </w:r>
            <w:r w:rsidR="00287C77" w:rsidRPr="00287C77">
              <w:rPr>
                <w:b w:val="0"/>
                <w:sz w:val="16"/>
                <w:szCs w:val="16"/>
              </w:rPr>
              <w:fldChar w:fldCharType="begin"/>
            </w:r>
            <w:r w:rsidR="00287C77" w:rsidRPr="00287C77">
              <w:rPr>
                <w:b w:val="0"/>
                <w:sz w:val="16"/>
                <w:szCs w:val="16"/>
              </w:rPr>
              <w:instrText xml:space="preserve"> PAGEREF OUR_LOCATIONS_END \h </w:instrText>
            </w:r>
            <w:r w:rsidR="00287C77" w:rsidRPr="00287C77">
              <w:rPr>
                <w:b w:val="0"/>
                <w:sz w:val="16"/>
                <w:szCs w:val="16"/>
              </w:rPr>
            </w:r>
            <w:r w:rsidR="00287C77" w:rsidRPr="00287C77">
              <w:rPr>
                <w:b w:val="0"/>
                <w:sz w:val="16"/>
                <w:szCs w:val="16"/>
              </w:rPr>
              <w:fldChar w:fldCharType="separate"/>
            </w:r>
            <w:r w:rsidR="00791D73">
              <w:rPr>
                <w:b w:val="0"/>
                <w:noProof/>
                <w:sz w:val="16"/>
                <w:szCs w:val="16"/>
              </w:rPr>
              <w:t>100</w:t>
            </w:r>
            <w:r w:rsidR="00287C77" w:rsidRPr="00287C77">
              <w:rPr>
                <w:b w:val="0"/>
                <w:sz w:val="16"/>
                <w:szCs w:val="16"/>
              </w:rPr>
              <w:fldChar w:fldCharType="end"/>
            </w:r>
          </w:p>
        </w:tc>
      </w:tr>
      <w:tr w:rsidR="00A6311B" w:rsidRPr="00112138" w:rsidTr="00F029A0">
        <w:trPr>
          <w:cantSplit/>
        </w:trPr>
        <w:tc>
          <w:tcPr>
            <w:tcW w:w="1548" w:type="dxa"/>
            <w:vMerge/>
            <w:tcBorders>
              <w:right w:val="single" w:sz="4" w:space="0" w:color="auto"/>
            </w:tcBorders>
          </w:tcPr>
          <w:p w:rsidR="00A6311B" w:rsidRPr="00112138" w:rsidRDefault="00A6311B" w:rsidP="00F029A0">
            <w:pPr>
              <w:pStyle w:val="Text"/>
              <w:spacing w:before="100" w:after="100"/>
              <w:rPr>
                <w:b/>
                <w:bCs/>
                <w:sz w:val="16"/>
                <w:szCs w:val="16"/>
              </w:rPr>
            </w:pPr>
          </w:p>
        </w:tc>
        <w:tc>
          <w:tcPr>
            <w:tcW w:w="4122" w:type="dxa"/>
            <w:tcBorders>
              <w:top w:val="single" w:sz="4" w:space="0" w:color="auto"/>
              <w:left w:val="single" w:sz="4" w:space="0" w:color="auto"/>
              <w:bottom w:val="single" w:sz="4" w:space="0" w:color="auto"/>
              <w:right w:val="single" w:sz="4" w:space="0" w:color="auto"/>
            </w:tcBorders>
          </w:tcPr>
          <w:p w:rsidR="00A6311B" w:rsidRPr="00112138" w:rsidRDefault="00A6311B" w:rsidP="00A6311B">
            <w:pPr>
              <w:pStyle w:val="Text"/>
              <w:numPr>
                <w:ilvl w:val="0"/>
                <w:numId w:val="113"/>
              </w:numPr>
              <w:tabs>
                <w:tab w:val="clear" w:pos="360"/>
                <w:tab w:val="num" w:pos="252"/>
              </w:tabs>
              <w:spacing w:before="100" w:after="100"/>
              <w:ind w:left="252" w:hanging="252"/>
              <w:rPr>
                <w:b/>
                <w:sz w:val="16"/>
                <w:szCs w:val="16"/>
              </w:rPr>
            </w:pPr>
            <w:r>
              <w:rPr>
                <w:b/>
                <w:sz w:val="16"/>
                <w:szCs w:val="16"/>
              </w:rPr>
              <w:t>Machinery of Government changes</w:t>
            </w:r>
          </w:p>
        </w:tc>
        <w:tc>
          <w:tcPr>
            <w:tcW w:w="2268" w:type="dxa"/>
            <w:tcBorders>
              <w:top w:val="single" w:sz="4" w:space="0" w:color="auto"/>
              <w:left w:val="single" w:sz="4" w:space="0" w:color="auto"/>
              <w:bottom w:val="single" w:sz="4" w:space="0" w:color="auto"/>
            </w:tcBorders>
            <w:shd w:val="clear" w:color="auto" w:fill="auto"/>
          </w:tcPr>
          <w:p w:rsidR="00A6311B" w:rsidRPr="00562CEA" w:rsidRDefault="00A6311B" w:rsidP="00F029A0">
            <w:pPr>
              <w:pStyle w:val="Text"/>
              <w:spacing w:before="100" w:after="100"/>
              <w:rPr>
                <w:sz w:val="16"/>
                <w:szCs w:val="16"/>
                <w:lang w:val="fr-FR"/>
              </w:rPr>
            </w:pPr>
            <w:r>
              <w:rPr>
                <w:sz w:val="16"/>
                <w:szCs w:val="16"/>
                <w:lang w:val="fr-FR"/>
              </w:rPr>
              <w:t>ARRs – section 31 and 32</w:t>
            </w:r>
          </w:p>
        </w:tc>
        <w:tc>
          <w:tcPr>
            <w:tcW w:w="1654" w:type="dxa"/>
            <w:tcBorders>
              <w:top w:val="single" w:sz="4" w:space="0" w:color="auto"/>
              <w:left w:val="single" w:sz="4" w:space="0" w:color="auto"/>
              <w:bottom w:val="single" w:sz="4" w:space="0" w:color="auto"/>
            </w:tcBorders>
            <w:shd w:val="clear" w:color="auto" w:fill="auto"/>
          </w:tcPr>
          <w:p w:rsidR="00A6311B" w:rsidRPr="00112138" w:rsidRDefault="00FA3BAD" w:rsidP="00F029A0">
            <w:pPr>
              <w:pStyle w:val="Text"/>
              <w:spacing w:before="100" w:after="100"/>
              <w:jc w:val="center"/>
              <w:rPr>
                <w:sz w:val="16"/>
                <w:szCs w:val="16"/>
              </w:rPr>
            </w:pPr>
            <w:r>
              <w:rPr>
                <w:sz w:val="16"/>
                <w:szCs w:val="16"/>
              </w:rPr>
              <w:fldChar w:fldCharType="begin"/>
            </w:r>
            <w:r>
              <w:rPr>
                <w:sz w:val="16"/>
                <w:szCs w:val="16"/>
              </w:rPr>
              <w:instrText xml:space="preserve"> PAGEREF MOG \h </w:instrText>
            </w:r>
            <w:r>
              <w:rPr>
                <w:sz w:val="16"/>
                <w:szCs w:val="16"/>
              </w:rPr>
            </w:r>
            <w:r>
              <w:rPr>
                <w:sz w:val="16"/>
                <w:szCs w:val="16"/>
              </w:rPr>
              <w:fldChar w:fldCharType="separate"/>
            </w:r>
            <w:r w:rsidR="00791D73">
              <w:rPr>
                <w:noProof/>
                <w:sz w:val="16"/>
                <w:szCs w:val="16"/>
              </w:rPr>
              <w:t>13</w:t>
            </w:r>
            <w:r>
              <w:rPr>
                <w:sz w:val="16"/>
                <w:szCs w:val="16"/>
              </w:rPr>
              <w:fldChar w:fldCharType="end"/>
            </w:r>
          </w:p>
        </w:tc>
      </w:tr>
      <w:tr w:rsidR="00A6311B" w:rsidRPr="00112138" w:rsidTr="00F029A0">
        <w:trPr>
          <w:cantSplit/>
        </w:trPr>
        <w:tc>
          <w:tcPr>
            <w:tcW w:w="1548" w:type="dxa"/>
            <w:vMerge/>
            <w:tcBorders>
              <w:bottom w:val="single" w:sz="4" w:space="0" w:color="auto"/>
              <w:right w:val="single" w:sz="4" w:space="0" w:color="auto"/>
            </w:tcBorders>
          </w:tcPr>
          <w:p w:rsidR="00A6311B" w:rsidRPr="00112138" w:rsidRDefault="00A6311B" w:rsidP="00F029A0">
            <w:pPr>
              <w:pStyle w:val="Text"/>
              <w:spacing w:before="100" w:after="100"/>
              <w:rPr>
                <w:b/>
                <w:bCs/>
                <w:sz w:val="16"/>
                <w:szCs w:val="16"/>
              </w:rPr>
            </w:pPr>
          </w:p>
        </w:tc>
        <w:tc>
          <w:tcPr>
            <w:tcW w:w="4122" w:type="dxa"/>
            <w:tcBorders>
              <w:top w:val="single" w:sz="4" w:space="0" w:color="auto"/>
              <w:left w:val="single" w:sz="4" w:space="0" w:color="auto"/>
              <w:bottom w:val="single" w:sz="4" w:space="0" w:color="auto"/>
              <w:right w:val="single" w:sz="4" w:space="0" w:color="auto"/>
            </w:tcBorders>
          </w:tcPr>
          <w:p w:rsidR="00A6311B" w:rsidRPr="00112138" w:rsidRDefault="00A6311B" w:rsidP="00A6311B">
            <w:pPr>
              <w:pStyle w:val="Text"/>
              <w:numPr>
                <w:ilvl w:val="0"/>
                <w:numId w:val="113"/>
              </w:numPr>
              <w:tabs>
                <w:tab w:val="clear" w:pos="360"/>
                <w:tab w:val="num" w:pos="252"/>
              </w:tabs>
              <w:spacing w:before="100" w:after="100"/>
              <w:ind w:left="252" w:hanging="252"/>
              <w:rPr>
                <w:b/>
                <w:sz w:val="16"/>
                <w:szCs w:val="16"/>
              </w:rPr>
            </w:pPr>
            <w:r>
              <w:rPr>
                <w:b/>
                <w:sz w:val="16"/>
                <w:szCs w:val="16"/>
              </w:rPr>
              <w:t>Operating environment</w:t>
            </w:r>
          </w:p>
        </w:tc>
        <w:tc>
          <w:tcPr>
            <w:tcW w:w="2268" w:type="dxa"/>
            <w:tcBorders>
              <w:top w:val="single" w:sz="4" w:space="0" w:color="auto"/>
              <w:left w:val="single" w:sz="4" w:space="0" w:color="auto"/>
              <w:bottom w:val="single" w:sz="4" w:space="0" w:color="auto"/>
            </w:tcBorders>
            <w:shd w:val="clear" w:color="auto" w:fill="auto"/>
          </w:tcPr>
          <w:p w:rsidR="00A6311B" w:rsidRPr="00562CEA" w:rsidRDefault="00A6311B" w:rsidP="00F029A0">
            <w:pPr>
              <w:pStyle w:val="Text"/>
              <w:spacing w:before="100" w:after="100"/>
              <w:rPr>
                <w:sz w:val="16"/>
                <w:szCs w:val="16"/>
                <w:lang w:val="fr-FR"/>
              </w:rPr>
            </w:pPr>
            <w:r w:rsidRPr="00155C01">
              <w:rPr>
                <w:sz w:val="16"/>
                <w:szCs w:val="16"/>
              </w:rPr>
              <w:t>ARRs – section 1</w:t>
            </w:r>
            <w:r>
              <w:rPr>
                <w:sz w:val="16"/>
                <w:szCs w:val="16"/>
              </w:rPr>
              <w:t>0.3</w:t>
            </w:r>
          </w:p>
        </w:tc>
        <w:tc>
          <w:tcPr>
            <w:tcW w:w="1654" w:type="dxa"/>
            <w:tcBorders>
              <w:top w:val="single" w:sz="4" w:space="0" w:color="auto"/>
              <w:left w:val="single" w:sz="4" w:space="0" w:color="auto"/>
              <w:bottom w:val="single" w:sz="4" w:space="0" w:color="auto"/>
            </w:tcBorders>
            <w:shd w:val="clear" w:color="auto" w:fill="auto"/>
          </w:tcPr>
          <w:p w:rsidR="00A6311B" w:rsidRPr="00112138" w:rsidRDefault="00B00909" w:rsidP="00F029A0">
            <w:pPr>
              <w:pStyle w:val="Text"/>
              <w:spacing w:before="100" w:after="100"/>
              <w:jc w:val="center"/>
              <w:rPr>
                <w:sz w:val="16"/>
                <w:szCs w:val="16"/>
              </w:rPr>
            </w:pPr>
            <w:r>
              <w:rPr>
                <w:sz w:val="16"/>
                <w:szCs w:val="16"/>
              </w:rPr>
              <w:fldChar w:fldCharType="begin"/>
            </w:r>
            <w:r>
              <w:rPr>
                <w:sz w:val="16"/>
                <w:szCs w:val="16"/>
              </w:rPr>
              <w:instrText xml:space="preserve"> PAGEREF OPERATING_ENVIRONMENT \h </w:instrText>
            </w:r>
            <w:r>
              <w:rPr>
                <w:sz w:val="16"/>
                <w:szCs w:val="16"/>
              </w:rPr>
            </w:r>
            <w:r>
              <w:rPr>
                <w:sz w:val="16"/>
                <w:szCs w:val="16"/>
              </w:rPr>
              <w:fldChar w:fldCharType="separate"/>
            </w:r>
            <w:r w:rsidR="00791D73">
              <w:rPr>
                <w:noProof/>
                <w:sz w:val="16"/>
                <w:szCs w:val="16"/>
              </w:rPr>
              <w:t>9</w:t>
            </w:r>
            <w:r>
              <w:rPr>
                <w:sz w:val="16"/>
                <w:szCs w:val="16"/>
              </w:rPr>
              <w:fldChar w:fldCharType="end"/>
            </w:r>
          </w:p>
        </w:tc>
      </w:tr>
      <w:tr w:rsidR="00A6311B" w:rsidRPr="00112138" w:rsidTr="00F029A0">
        <w:trPr>
          <w:cantSplit/>
        </w:trPr>
        <w:tc>
          <w:tcPr>
            <w:tcW w:w="1548" w:type="dxa"/>
            <w:vMerge w:val="restart"/>
            <w:tcBorders>
              <w:top w:val="single" w:sz="4" w:space="0" w:color="auto"/>
              <w:right w:val="single" w:sz="4" w:space="0" w:color="auto"/>
            </w:tcBorders>
          </w:tcPr>
          <w:p w:rsidR="00A6311B" w:rsidRPr="00DA656C" w:rsidRDefault="00A6311B" w:rsidP="00F029A0">
            <w:pPr>
              <w:pStyle w:val="Text"/>
              <w:spacing w:before="100" w:after="100"/>
              <w:rPr>
                <w:b/>
                <w:bCs/>
                <w:sz w:val="16"/>
                <w:szCs w:val="16"/>
              </w:rPr>
            </w:pPr>
            <w:r w:rsidRPr="00DA656C">
              <w:rPr>
                <w:b/>
                <w:bCs/>
                <w:sz w:val="16"/>
                <w:szCs w:val="16"/>
              </w:rPr>
              <w:t>Non-financial performance</w:t>
            </w:r>
          </w:p>
        </w:tc>
        <w:tc>
          <w:tcPr>
            <w:tcW w:w="4122" w:type="dxa"/>
            <w:tcBorders>
              <w:top w:val="single" w:sz="4" w:space="0" w:color="auto"/>
              <w:left w:val="single" w:sz="4" w:space="0" w:color="auto"/>
              <w:bottom w:val="single" w:sz="4" w:space="0" w:color="auto"/>
              <w:right w:val="single" w:sz="4" w:space="0" w:color="auto"/>
            </w:tcBorders>
          </w:tcPr>
          <w:p w:rsidR="00A6311B" w:rsidRPr="00DA656C" w:rsidRDefault="00A6311B" w:rsidP="00A6311B">
            <w:pPr>
              <w:pStyle w:val="Text"/>
              <w:numPr>
                <w:ilvl w:val="0"/>
                <w:numId w:val="113"/>
              </w:numPr>
              <w:tabs>
                <w:tab w:val="clear" w:pos="360"/>
                <w:tab w:val="num" w:pos="252"/>
              </w:tabs>
              <w:spacing w:before="100" w:after="100"/>
              <w:ind w:left="252" w:hanging="252"/>
              <w:rPr>
                <w:b/>
                <w:sz w:val="16"/>
                <w:szCs w:val="16"/>
              </w:rPr>
            </w:pPr>
            <w:r w:rsidRPr="00DA656C">
              <w:rPr>
                <w:b/>
                <w:sz w:val="16"/>
                <w:szCs w:val="16"/>
              </w:rPr>
              <w:t>Government’s objectives for the community</w:t>
            </w:r>
          </w:p>
        </w:tc>
        <w:tc>
          <w:tcPr>
            <w:tcW w:w="2268" w:type="dxa"/>
            <w:tcBorders>
              <w:top w:val="single" w:sz="4" w:space="0" w:color="auto"/>
              <w:left w:val="single" w:sz="4" w:space="0" w:color="auto"/>
            </w:tcBorders>
            <w:shd w:val="clear" w:color="auto" w:fill="auto"/>
          </w:tcPr>
          <w:p w:rsidR="00A6311B" w:rsidRPr="003F3429" w:rsidRDefault="00A6311B" w:rsidP="00F029A0">
            <w:pPr>
              <w:pStyle w:val="Text"/>
              <w:spacing w:before="100" w:after="100"/>
              <w:rPr>
                <w:sz w:val="16"/>
                <w:szCs w:val="16"/>
              </w:rPr>
            </w:pPr>
            <w:r>
              <w:rPr>
                <w:sz w:val="16"/>
                <w:szCs w:val="16"/>
              </w:rPr>
              <w:t>ARRs – section 11</w:t>
            </w:r>
            <w:r w:rsidRPr="003F3429">
              <w:rPr>
                <w:sz w:val="16"/>
                <w:szCs w:val="16"/>
              </w:rPr>
              <w:t>.1</w:t>
            </w:r>
          </w:p>
        </w:tc>
        <w:tc>
          <w:tcPr>
            <w:tcW w:w="1654" w:type="dxa"/>
            <w:tcBorders>
              <w:top w:val="single" w:sz="4" w:space="0" w:color="auto"/>
              <w:left w:val="single" w:sz="4" w:space="0" w:color="auto"/>
              <w:bottom w:val="single" w:sz="4" w:space="0" w:color="auto"/>
            </w:tcBorders>
            <w:shd w:val="clear" w:color="auto" w:fill="auto"/>
          </w:tcPr>
          <w:p w:rsidR="00A6311B" w:rsidRPr="00112138" w:rsidRDefault="00B00909" w:rsidP="00F029A0">
            <w:pPr>
              <w:pStyle w:val="Text"/>
              <w:spacing w:before="100" w:after="100"/>
              <w:jc w:val="center"/>
              <w:rPr>
                <w:sz w:val="16"/>
                <w:szCs w:val="16"/>
              </w:rPr>
            </w:pPr>
            <w:r>
              <w:rPr>
                <w:sz w:val="16"/>
                <w:szCs w:val="16"/>
              </w:rPr>
              <w:fldChar w:fldCharType="begin"/>
            </w:r>
            <w:r>
              <w:rPr>
                <w:sz w:val="16"/>
                <w:szCs w:val="16"/>
              </w:rPr>
              <w:instrText xml:space="preserve"> PAGEREF GOVERNMENT_OBJECTIVES \h </w:instrText>
            </w:r>
            <w:r>
              <w:rPr>
                <w:sz w:val="16"/>
                <w:szCs w:val="16"/>
              </w:rPr>
            </w:r>
            <w:r>
              <w:rPr>
                <w:sz w:val="16"/>
                <w:szCs w:val="16"/>
              </w:rPr>
              <w:fldChar w:fldCharType="separate"/>
            </w:r>
            <w:r w:rsidR="00791D73">
              <w:rPr>
                <w:noProof/>
                <w:sz w:val="16"/>
                <w:szCs w:val="16"/>
              </w:rPr>
              <w:t>8</w:t>
            </w:r>
            <w:r>
              <w:rPr>
                <w:sz w:val="16"/>
                <w:szCs w:val="16"/>
              </w:rPr>
              <w:fldChar w:fldCharType="end"/>
            </w:r>
          </w:p>
        </w:tc>
      </w:tr>
      <w:tr w:rsidR="00A6311B" w:rsidRPr="00112138" w:rsidTr="00F029A0">
        <w:trPr>
          <w:cantSplit/>
        </w:trPr>
        <w:tc>
          <w:tcPr>
            <w:tcW w:w="1548" w:type="dxa"/>
            <w:vMerge/>
            <w:tcBorders>
              <w:right w:val="single" w:sz="4" w:space="0" w:color="auto"/>
            </w:tcBorders>
          </w:tcPr>
          <w:p w:rsidR="00A6311B" w:rsidRPr="00112138" w:rsidRDefault="00A6311B" w:rsidP="00F029A0">
            <w:pPr>
              <w:pStyle w:val="Text"/>
              <w:spacing w:before="100" w:after="100"/>
              <w:rPr>
                <w:b/>
                <w:bCs/>
                <w:sz w:val="16"/>
                <w:szCs w:val="16"/>
              </w:rPr>
            </w:pPr>
          </w:p>
        </w:tc>
        <w:tc>
          <w:tcPr>
            <w:tcW w:w="4122" w:type="dxa"/>
            <w:tcBorders>
              <w:top w:val="single" w:sz="4" w:space="0" w:color="auto"/>
              <w:left w:val="single" w:sz="4" w:space="0" w:color="auto"/>
              <w:bottom w:val="single" w:sz="4" w:space="0" w:color="auto"/>
              <w:right w:val="single" w:sz="4" w:space="0" w:color="auto"/>
            </w:tcBorders>
          </w:tcPr>
          <w:p w:rsidR="00A6311B" w:rsidRPr="00112138" w:rsidRDefault="00A6311B" w:rsidP="00A6311B">
            <w:pPr>
              <w:pStyle w:val="Text"/>
              <w:numPr>
                <w:ilvl w:val="0"/>
                <w:numId w:val="113"/>
              </w:numPr>
              <w:tabs>
                <w:tab w:val="clear" w:pos="360"/>
                <w:tab w:val="num" w:pos="252"/>
              </w:tabs>
              <w:spacing w:before="100" w:after="100"/>
              <w:ind w:left="252" w:hanging="252"/>
              <w:rPr>
                <w:b/>
                <w:sz w:val="16"/>
                <w:szCs w:val="16"/>
              </w:rPr>
            </w:pPr>
            <w:r w:rsidRPr="00112138">
              <w:rPr>
                <w:b/>
                <w:sz w:val="16"/>
                <w:szCs w:val="16"/>
              </w:rPr>
              <w:t>Other whole-of-government plans / specific initiatives</w:t>
            </w:r>
          </w:p>
        </w:tc>
        <w:tc>
          <w:tcPr>
            <w:tcW w:w="2268" w:type="dxa"/>
            <w:tcBorders>
              <w:left w:val="single" w:sz="4" w:space="0" w:color="auto"/>
            </w:tcBorders>
            <w:shd w:val="clear" w:color="auto" w:fill="auto"/>
          </w:tcPr>
          <w:p w:rsidR="00A6311B" w:rsidRPr="003F3429" w:rsidRDefault="00A6311B" w:rsidP="00F029A0">
            <w:pPr>
              <w:pStyle w:val="Text"/>
              <w:spacing w:before="100" w:after="100"/>
              <w:rPr>
                <w:sz w:val="16"/>
                <w:szCs w:val="16"/>
              </w:rPr>
            </w:pPr>
            <w:r>
              <w:rPr>
                <w:sz w:val="16"/>
                <w:szCs w:val="16"/>
              </w:rPr>
              <w:t>ARRs – section 11.2</w:t>
            </w:r>
          </w:p>
        </w:tc>
        <w:tc>
          <w:tcPr>
            <w:tcW w:w="1654" w:type="dxa"/>
            <w:tcBorders>
              <w:top w:val="single" w:sz="4" w:space="0" w:color="auto"/>
              <w:left w:val="single" w:sz="4" w:space="0" w:color="auto"/>
              <w:bottom w:val="single" w:sz="4" w:space="0" w:color="auto"/>
            </w:tcBorders>
            <w:shd w:val="clear" w:color="auto" w:fill="auto"/>
          </w:tcPr>
          <w:p w:rsidR="00A6311B" w:rsidRPr="00112138" w:rsidRDefault="00287C77" w:rsidP="00F029A0">
            <w:pPr>
              <w:pStyle w:val="Text"/>
              <w:spacing w:before="100" w:after="100"/>
              <w:jc w:val="center"/>
              <w:rPr>
                <w:sz w:val="16"/>
                <w:szCs w:val="16"/>
              </w:rPr>
            </w:pPr>
            <w:r>
              <w:rPr>
                <w:sz w:val="16"/>
                <w:szCs w:val="16"/>
              </w:rPr>
              <w:fldChar w:fldCharType="begin"/>
            </w:r>
            <w:r>
              <w:rPr>
                <w:sz w:val="16"/>
                <w:szCs w:val="16"/>
              </w:rPr>
              <w:instrText xml:space="preserve"> PAGEREF SPECIFIC_INITIATIVES \h </w:instrText>
            </w:r>
            <w:r>
              <w:rPr>
                <w:sz w:val="16"/>
                <w:szCs w:val="16"/>
              </w:rPr>
            </w:r>
            <w:r>
              <w:rPr>
                <w:sz w:val="16"/>
                <w:szCs w:val="16"/>
              </w:rPr>
              <w:fldChar w:fldCharType="separate"/>
            </w:r>
            <w:r w:rsidR="00791D73">
              <w:rPr>
                <w:noProof/>
                <w:sz w:val="16"/>
                <w:szCs w:val="16"/>
              </w:rPr>
              <w:t>87</w:t>
            </w:r>
            <w:r>
              <w:rPr>
                <w:sz w:val="16"/>
                <w:szCs w:val="16"/>
              </w:rPr>
              <w:fldChar w:fldCharType="end"/>
            </w:r>
          </w:p>
        </w:tc>
      </w:tr>
      <w:tr w:rsidR="00A6311B" w:rsidRPr="00112138" w:rsidTr="00F029A0">
        <w:trPr>
          <w:cantSplit/>
        </w:trPr>
        <w:tc>
          <w:tcPr>
            <w:tcW w:w="1548" w:type="dxa"/>
            <w:vMerge/>
            <w:tcBorders>
              <w:right w:val="single" w:sz="4" w:space="0" w:color="auto"/>
            </w:tcBorders>
          </w:tcPr>
          <w:p w:rsidR="00A6311B" w:rsidRPr="00112138" w:rsidRDefault="00A6311B" w:rsidP="00F029A0">
            <w:pPr>
              <w:pStyle w:val="Text"/>
              <w:spacing w:before="100" w:after="100"/>
              <w:rPr>
                <w:b/>
                <w:bCs/>
                <w:sz w:val="16"/>
                <w:szCs w:val="16"/>
              </w:rPr>
            </w:pPr>
          </w:p>
        </w:tc>
        <w:tc>
          <w:tcPr>
            <w:tcW w:w="4122" w:type="dxa"/>
            <w:tcBorders>
              <w:top w:val="single" w:sz="4" w:space="0" w:color="auto"/>
              <w:left w:val="single" w:sz="4" w:space="0" w:color="auto"/>
              <w:bottom w:val="single" w:sz="4" w:space="0" w:color="auto"/>
              <w:right w:val="single" w:sz="4" w:space="0" w:color="auto"/>
            </w:tcBorders>
          </w:tcPr>
          <w:p w:rsidR="00A6311B" w:rsidRPr="00112138" w:rsidRDefault="00A6311B" w:rsidP="00A6311B">
            <w:pPr>
              <w:pStyle w:val="Text"/>
              <w:numPr>
                <w:ilvl w:val="0"/>
                <w:numId w:val="113"/>
              </w:numPr>
              <w:tabs>
                <w:tab w:val="clear" w:pos="360"/>
                <w:tab w:val="num" w:pos="252"/>
              </w:tabs>
              <w:spacing w:before="100" w:after="100"/>
              <w:ind w:left="252" w:hanging="252"/>
              <w:rPr>
                <w:b/>
                <w:sz w:val="16"/>
                <w:szCs w:val="16"/>
              </w:rPr>
            </w:pPr>
            <w:r w:rsidRPr="00112138">
              <w:rPr>
                <w:b/>
                <w:sz w:val="16"/>
                <w:szCs w:val="16"/>
              </w:rPr>
              <w:t>Agency objectives and performance indicators</w:t>
            </w:r>
          </w:p>
        </w:tc>
        <w:tc>
          <w:tcPr>
            <w:tcW w:w="2268" w:type="dxa"/>
            <w:tcBorders>
              <w:left w:val="single" w:sz="4" w:space="0" w:color="auto"/>
            </w:tcBorders>
            <w:shd w:val="clear" w:color="auto" w:fill="auto"/>
          </w:tcPr>
          <w:p w:rsidR="00A6311B" w:rsidRPr="003F3429" w:rsidRDefault="00A6311B" w:rsidP="00F029A0">
            <w:pPr>
              <w:pStyle w:val="Text"/>
              <w:spacing w:before="100" w:after="100"/>
              <w:rPr>
                <w:sz w:val="16"/>
                <w:szCs w:val="16"/>
              </w:rPr>
            </w:pPr>
            <w:r>
              <w:rPr>
                <w:sz w:val="16"/>
                <w:szCs w:val="16"/>
              </w:rPr>
              <w:t>ARRs – section 11.3</w:t>
            </w:r>
            <w:r w:rsidR="009334AD">
              <w:rPr>
                <w:sz w:val="16"/>
                <w:szCs w:val="16"/>
              </w:rPr>
              <w:t>,</w:t>
            </w:r>
          </w:p>
        </w:tc>
        <w:tc>
          <w:tcPr>
            <w:tcW w:w="1654" w:type="dxa"/>
            <w:tcBorders>
              <w:top w:val="single" w:sz="4" w:space="0" w:color="auto"/>
              <w:left w:val="single" w:sz="4" w:space="0" w:color="auto"/>
              <w:bottom w:val="single" w:sz="4" w:space="0" w:color="auto"/>
            </w:tcBorders>
            <w:shd w:val="clear" w:color="auto" w:fill="auto"/>
          </w:tcPr>
          <w:p w:rsidR="00A6311B" w:rsidRPr="00112138" w:rsidRDefault="009334AD" w:rsidP="00F029A0">
            <w:pPr>
              <w:pStyle w:val="Text"/>
              <w:spacing w:before="100" w:after="100"/>
              <w:jc w:val="center"/>
              <w:rPr>
                <w:sz w:val="16"/>
                <w:szCs w:val="16"/>
              </w:rPr>
            </w:pPr>
            <w:r>
              <w:rPr>
                <w:sz w:val="16"/>
                <w:szCs w:val="16"/>
              </w:rPr>
              <w:fldChar w:fldCharType="begin"/>
            </w:r>
            <w:r>
              <w:rPr>
                <w:sz w:val="16"/>
                <w:szCs w:val="16"/>
              </w:rPr>
              <w:instrText xml:space="preserve"> PAGEREF OUR_OBJECTIVES \h </w:instrText>
            </w:r>
            <w:r>
              <w:rPr>
                <w:sz w:val="16"/>
                <w:szCs w:val="16"/>
              </w:rPr>
            </w:r>
            <w:r>
              <w:rPr>
                <w:sz w:val="16"/>
                <w:szCs w:val="16"/>
              </w:rPr>
              <w:fldChar w:fldCharType="separate"/>
            </w:r>
            <w:r w:rsidR="00791D73">
              <w:rPr>
                <w:noProof/>
                <w:sz w:val="16"/>
                <w:szCs w:val="16"/>
              </w:rPr>
              <w:t>9</w:t>
            </w:r>
            <w:r>
              <w:rPr>
                <w:sz w:val="16"/>
                <w:szCs w:val="16"/>
              </w:rPr>
              <w:fldChar w:fldCharType="end"/>
            </w:r>
            <w:r>
              <w:rPr>
                <w:sz w:val="16"/>
                <w:szCs w:val="16"/>
              </w:rPr>
              <w:t xml:space="preserve">, </w:t>
            </w:r>
            <w:r>
              <w:rPr>
                <w:sz w:val="16"/>
                <w:szCs w:val="16"/>
              </w:rPr>
              <w:fldChar w:fldCharType="begin"/>
            </w:r>
            <w:r>
              <w:rPr>
                <w:sz w:val="16"/>
                <w:szCs w:val="16"/>
              </w:rPr>
              <w:instrText xml:space="preserve"> PAGEREF SERVICE_AREAS_START \h </w:instrText>
            </w:r>
            <w:r>
              <w:rPr>
                <w:sz w:val="16"/>
                <w:szCs w:val="16"/>
              </w:rPr>
            </w:r>
            <w:r>
              <w:rPr>
                <w:sz w:val="16"/>
                <w:szCs w:val="16"/>
              </w:rPr>
              <w:fldChar w:fldCharType="separate"/>
            </w:r>
            <w:r w:rsidR="00791D73">
              <w:rPr>
                <w:noProof/>
                <w:sz w:val="16"/>
                <w:szCs w:val="16"/>
              </w:rPr>
              <w:t>21</w:t>
            </w:r>
            <w:r>
              <w:rPr>
                <w:sz w:val="16"/>
                <w:szCs w:val="16"/>
              </w:rPr>
              <w:fldChar w:fldCharType="end"/>
            </w:r>
            <w:r w:rsidR="00287C77">
              <w:rPr>
                <w:sz w:val="16"/>
                <w:szCs w:val="16"/>
              </w:rPr>
              <w:t xml:space="preserve">- </w:t>
            </w:r>
            <w:r>
              <w:rPr>
                <w:sz w:val="16"/>
                <w:szCs w:val="16"/>
              </w:rPr>
              <w:fldChar w:fldCharType="begin"/>
            </w:r>
            <w:r>
              <w:rPr>
                <w:sz w:val="16"/>
                <w:szCs w:val="16"/>
              </w:rPr>
              <w:instrText xml:space="preserve"> PAGEREF SERVICE_AREAS_END \h </w:instrText>
            </w:r>
            <w:r>
              <w:rPr>
                <w:sz w:val="16"/>
                <w:szCs w:val="16"/>
              </w:rPr>
            </w:r>
            <w:r>
              <w:rPr>
                <w:sz w:val="16"/>
                <w:szCs w:val="16"/>
              </w:rPr>
              <w:fldChar w:fldCharType="separate"/>
            </w:r>
            <w:r w:rsidR="00791D73">
              <w:rPr>
                <w:noProof/>
                <w:sz w:val="16"/>
                <w:szCs w:val="16"/>
              </w:rPr>
              <w:t>62</w:t>
            </w:r>
            <w:r>
              <w:rPr>
                <w:sz w:val="16"/>
                <w:szCs w:val="16"/>
              </w:rPr>
              <w:fldChar w:fldCharType="end"/>
            </w:r>
            <w:r w:rsidR="00287C77">
              <w:rPr>
                <w:sz w:val="16"/>
                <w:szCs w:val="16"/>
              </w:rPr>
              <w:t xml:space="preserve"> ,</w:t>
            </w:r>
            <w:r w:rsidR="00287C77">
              <w:rPr>
                <w:sz w:val="16"/>
                <w:szCs w:val="16"/>
              </w:rPr>
              <w:fldChar w:fldCharType="begin"/>
            </w:r>
            <w:r w:rsidR="00287C77">
              <w:rPr>
                <w:sz w:val="16"/>
                <w:szCs w:val="16"/>
              </w:rPr>
              <w:instrText xml:space="preserve"> PAGEREF OUR_LOCATIONS \h </w:instrText>
            </w:r>
            <w:r w:rsidR="00287C77">
              <w:rPr>
                <w:sz w:val="16"/>
                <w:szCs w:val="16"/>
              </w:rPr>
            </w:r>
            <w:r w:rsidR="00287C77">
              <w:rPr>
                <w:sz w:val="16"/>
                <w:szCs w:val="16"/>
              </w:rPr>
              <w:fldChar w:fldCharType="separate"/>
            </w:r>
            <w:r w:rsidR="00791D73">
              <w:rPr>
                <w:noProof/>
                <w:sz w:val="16"/>
                <w:szCs w:val="16"/>
              </w:rPr>
              <w:t>92</w:t>
            </w:r>
            <w:r w:rsidR="00287C77">
              <w:rPr>
                <w:sz w:val="16"/>
                <w:szCs w:val="16"/>
              </w:rPr>
              <w:fldChar w:fldCharType="end"/>
            </w:r>
            <w:r w:rsidR="00287C77">
              <w:rPr>
                <w:sz w:val="16"/>
                <w:szCs w:val="16"/>
              </w:rPr>
              <w:t>-</w:t>
            </w:r>
            <w:r w:rsidR="00287C77">
              <w:rPr>
                <w:sz w:val="16"/>
                <w:szCs w:val="16"/>
              </w:rPr>
              <w:fldChar w:fldCharType="begin"/>
            </w:r>
            <w:r w:rsidR="00287C77">
              <w:rPr>
                <w:sz w:val="16"/>
                <w:szCs w:val="16"/>
              </w:rPr>
              <w:instrText xml:space="preserve"> PAGEREF OUR_LOCATIONS_END \h </w:instrText>
            </w:r>
            <w:r w:rsidR="00287C77">
              <w:rPr>
                <w:sz w:val="16"/>
                <w:szCs w:val="16"/>
              </w:rPr>
            </w:r>
            <w:r w:rsidR="00287C77">
              <w:rPr>
                <w:sz w:val="16"/>
                <w:szCs w:val="16"/>
              </w:rPr>
              <w:fldChar w:fldCharType="separate"/>
            </w:r>
            <w:r w:rsidR="00791D73">
              <w:rPr>
                <w:noProof/>
                <w:sz w:val="16"/>
                <w:szCs w:val="16"/>
              </w:rPr>
              <w:t>100</w:t>
            </w:r>
            <w:r w:rsidR="00287C77">
              <w:rPr>
                <w:sz w:val="16"/>
                <w:szCs w:val="16"/>
              </w:rPr>
              <w:fldChar w:fldCharType="end"/>
            </w:r>
          </w:p>
        </w:tc>
      </w:tr>
      <w:tr w:rsidR="00A6311B" w:rsidRPr="00112138" w:rsidTr="00F029A0">
        <w:trPr>
          <w:cantSplit/>
        </w:trPr>
        <w:tc>
          <w:tcPr>
            <w:tcW w:w="1548" w:type="dxa"/>
            <w:vMerge/>
            <w:tcBorders>
              <w:bottom w:val="nil"/>
              <w:right w:val="single" w:sz="4" w:space="0" w:color="auto"/>
            </w:tcBorders>
          </w:tcPr>
          <w:p w:rsidR="00A6311B" w:rsidRPr="00112138" w:rsidRDefault="00A6311B" w:rsidP="00F029A0">
            <w:pPr>
              <w:pStyle w:val="Text"/>
              <w:spacing w:before="100" w:after="100"/>
              <w:rPr>
                <w:b/>
                <w:bCs/>
                <w:sz w:val="16"/>
                <w:szCs w:val="16"/>
              </w:rPr>
            </w:pPr>
          </w:p>
        </w:tc>
        <w:tc>
          <w:tcPr>
            <w:tcW w:w="4122" w:type="dxa"/>
            <w:tcBorders>
              <w:top w:val="single" w:sz="4" w:space="0" w:color="auto"/>
              <w:left w:val="single" w:sz="4" w:space="0" w:color="auto"/>
              <w:bottom w:val="single" w:sz="4" w:space="0" w:color="auto"/>
              <w:right w:val="single" w:sz="4" w:space="0" w:color="auto"/>
            </w:tcBorders>
          </w:tcPr>
          <w:p w:rsidR="00A6311B" w:rsidRPr="00112138" w:rsidRDefault="00A6311B" w:rsidP="00A6311B">
            <w:pPr>
              <w:pStyle w:val="Text"/>
              <w:numPr>
                <w:ilvl w:val="0"/>
                <w:numId w:val="113"/>
              </w:numPr>
              <w:tabs>
                <w:tab w:val="clear" w:pos="360"/>
                <w:tab w:val="num" w:pos="252"/>
              </w:tabs>
              <w:spacing w:before="100" w:after="100"/>
              <w:ind w:left="252" w:hanging="252"/>
              <w:rPr>
                <w:b/>
                <w:sz w:val="16"/>
                <w:szCs w:val="16"/>
              </w:rPr>
            </w:pPr>
            <w:r>
              <w:rPr>
                <w:b/>
                <w:sz w:val="16"/>
                <w:szCs w:val="16"/>
              </w:rPr>
              <w:t xml:space="preserve">Agency service areas </w:t>
            </w:r>
            <w:r w:rsidRPr="00B34006">
              <w:rPr>
                <w:b/>
                <w:sz w:val="16"/>
                <w:szCs w:val="16"/>
              </w:rPr>
              <w:t xml:space="preserve">and service standards </w:t>
            </w:r>
          </w:p>
        </w:tc>
        <w:tc>
          <w:tcPr>
            <w:tcW w:w="2268" w:type="dxa"/>
            <w:tcBorders>
              <w:left w:val="single" w:sz="4" w:space="0" w:color="auto"/>
            </w:tcBorders>
            <w:shd w:val="clear" w:color="auto" w:fill="auto"/>
          </w:tcPr>
          <w:p w:rsidR="00A6311B" w:rsidRPr="003F3429" w:rsidRDefault="00A6311B" w:rsidP="00F029A0">
            <w:pPr>
              <w:pStyle w:val="Text"/>
              <w:spacing w:before="100" w:after="100"/>
              <w:rPr>
                <w:i/>
                <w:sz w:val="16"/>
                <w:szCs w:val="16"/>
              </w:rPr>
            </w:pPr>
            <w:r>
              <w:rPr>
                <w:sz w:val="16"/>
                <w:szCs w:val="16"/>
              </w:rPr>
              <w:t>ARRs – section 11</w:t>
            </w:r>
            <w:r w:rsidRPr="003F3429">
              <w:rPr>
                <w:sz w:val="16"/>
                <w:szCs w:val="16"/>
              </w:rPr>
              <w:t>.</w:t>
            </w:r>
            <w:r>
              <w:rPr>
                <w:sz w:val="16"/>
                <w:szCs w:val="16"/>
              </w:rPr>
              <w:t>4</w:t>
            </w:r>
          </w:p>
        </w:tc>
        <w:tc>
          <w:tcPr>
            <w:tcW w:w="1654" w:type="dxa"/>
            <w:tcBorders>
              <w:top w:val="single" w:sz="4" w:space="0" w:color="auto"/>
              <w:left w:val="single" w:sz="4" w:space="0" w:color="auto"/>
              <w:bottom w:val="single" w:sz="4" w:space="0" w:color="auto"/>
            </w:tcBorders>
            <w:shd w:val="clear" w:color="auto" w:fill="auto"/>
          </w:tcPr>
          <w:p w:rsidR="00A6311B" w:rsidRPr="00112138" w:rsidRDefault="00B00909" w:rsidP="00F029A0">
            <w:pPr>
              <w:pStyle w:val="Text"/>
              <w:spacing w:before="100" w:after="100"/>
              <w:jc w:val="center"/>
              <w:rPr>
                <w:sz w:val="16"/>
                <w:szCs w:val="16"/>
              </w:rPr>
            </w:pPr>
            <w:r>
              <w:rPr>
                <w:sz w:val="16"/>
                <w:szCs w:val="16"/>
              </w:rPr>
              <w:fldChar w:fldCharType="begin"/>
            </w:r>
            <w:r>
              <w:rPr>
                <w:sz w:val="16"/>
                <w:szCs w:val="16"/>
              </w:rPr>
              <w:instrText xml:space="preserve"> PAGEREF SERVICE_AREAS_START \h </w:instrText>
            </w:r>
            <w:r>
              <w:rPr>
                <w:sz w:val="16"/>
                <w:szCs w:val="16"/>
              </w:rPr>
            </w:r>
            <w:r>
              <w:rPr>
                <w:sz w:val="16"/>
                <w:szCs w:val="16"/>
              </w:rPr>
              <w:fldChar w:fldCharType="separate"/>
            </w:r>
            <w:r w:rsidR="00791D73">
              <w:rPr>
                <w:noProof/>
                <w:sz w:val="16"/>
                <w:szCs w:val="16"/>
              </w:rPr>
              <w:t>21</w:t>
            </w:r>
            <w:r>
              <w:rPr>
                <w:sz w:val="16"/>
                <w:szCs w:val="16"/>
              </w:rPr>
              <w:fldChar w:fldCharType="end"/>
            </w:r>
            <w:r>
              <w:rPr>
                <w:sz w:val="16"/>
                <w:szCs w:val="16"/>
              </w:rPr>
              <w:t>-</w:t>
            </w:r>
            <w:r>
              <w:rPr>
                <w:sz w:val="16"/>
                <w:szCs w:val="16"/>
              </w:rPr>
              <w:fldChar w:fldCharType="begin"/>
            </w:r>
            <w:r>
              <w:rPr>
                <w:sz w:val="16"/>
                <w:szCs w:val="16"/>
              </w:rPr>
              <w:instrText xml:space="preserve"> PAGEREF SERVICE_AREAS_END \h </w:instrText>
            </w:r>
            <w:r>
              <w:rPr>
                <w:sz w:val="16"/>
                <w:szCs w:val="16"/>
              </w:rPr>
            </w:r>
            <w:r>
              <w:rPr>
                <w:sz w:val="16"/>
                <w:szCs w:val="16"/>
              </w:rPr>
              <w:fldChar w:fldCharType="separate"/>
            </w:r>
            <w:r w:rsidR="00791D73">
              <w:rPr>
                <w:noProof/>
                <w:sz w:val="16"/>
                <w:szCs w:val="16"/>
              </w:rPr>
              <w:t>62</w:t>
            </w:r>
            <w:r>
              <w:rPr>
                <w:sz w:val="16"/>
                <w:szCs w:val="16"/>
              </w:rPr>
              <w:fldChar w:fldCharType="end"/>
            </w:r>
          </w:p>
        </w:tc>
      </w:tr>
      <w:tr w:rsidR="00A6311B" w:rsidRPr="00112138" w:rsidTr="00F029A0">
        <w:trPr>
          <w:cantSplit/>
        </w:trPr>
        <w:tc>
          <w:tcPr>
            <w:tcW w:w="1548" w:type="dxa"/>
            <w:tcBorders>
              <w:top w:val="single" w:sz="4" w:space="0" w:color="auto"/>
              <w:bottom w:val="single" w:sz="4" w:space="0" w:color="auto"/>
              <w:right w:val="single" w:sz="4" w:space="0" w:color="auto"/>
            </w:tcBorders>
          </w:tcPr>
          <w:p w:rsidR="00A6311B" w:rsidRPr="00112138" w:rsidRDefault="00A6311B" w:rsidP="00F029A0">
            <w:pPr>
              <w:pStyle w:val="Text"/>
              <w:spacing w:before="100" w:after="100"/>
              <w:rPr>
                <w:b/>
                <w:bCs/>
                <w:sz w:val="16"/>
                <w:szCs w:val="16"/>
              </w:rPr>
            </w:pPr>
            <w:r w:rsidRPr="00112138">
              <w:rPr>
                <w:b/>
                <w:bCs/>
                <w:sz w:val="16"/>
                <w:szCs w:val="16"/>
              </w:rPr>
              <w:t>Financial performance</w:t>
            </w:r>
          </w:p>
        </w:tc>
        <w:tc>
          <w:tcPr>
            <w:tcW w:w="4122" w:type="dxa"/>
            <w:tcBorders>
              <w:top w:val="single" w:sz="4" w:space="0" w:color="auto"/>
              <w:left w:val="single" w:sz="4" w:space="0" w:color="auto"/>
              <w:bottom w:val="single" w:sz="4" w:space="0" w:color="auto"/>
              <w:right w:val="single" w:sz="4" w:space="0" w:color="auto"/>
            </w:tcBorders>
          </w:tcPr>
          <w:p w:rsidR="00A6311B" w:rsidRPr="00112138" w:rsidRDefault="00A6311B" w:rsidP="00A6311B">
            <w:pPr>
              <w:pStyle w:val="Text"/>
              <w:numPr>
                <w:ilvl w:val="0"/>
                <w:numId w:val="113"/>
              </w:numPr>
              <w:tabs>
                <w:tab w:val="clear" w:pos="360"/>
                <w:tab w:val="num" w:pos="252"/>
              </w:tabs>
              <w:spacing w:before="100" w:after="100"/>
              <w:ind w:left="252" w:hanging="252"/>
              <w:rPr>
                <w:b/>
                <w:sz w:val="16"/>
                <w:szCs w:val="16"/>
              </w:rPr>
            </w:pPr>
            <w:r w:rsidRPr="00112138">
              <w:rPr>
                <w:b/>
                <w:sz w:val="16"/>
                <w:szCs w:val="16"/>
              </w:rPr>
              <w:t>Summary of financial performance</w:t>
            </w:r>
          </w:p>
        </w:tc>
        <w:tc>
          <w:tcPr>
            <w:tcW w:w="2268" w:type="dxa"/>
            <w:tcBorders>
              <w:top w:val="single" w:sz="4" w:space="0" w:color="auto"/>
              <w:left w:val="single" w:sz="4" w:space="0" w:color="auto"/>
              <w:bottom w:val="single" w:sz="4" w:space="0" w:color="auto"/>
            </w:tcBorders>
            <w:shd w:val="clear" w:color="auto" w:fill="auto"/>
          </w:tcPr>
          <w:p w:rsidR="00A6311B" w:rsidRPr="00562CEA" w:rsidRDefault="00A6311B" w:rsidP="00F029A0">
            <w:pPr>
              <w:pStyle w:val="Text"/>
              <w:spacing w:before="100" w:after="100"/>
              <w:rPr>
                <w:sz w:val="16"/>
                <w:szCs w:val="16"/>
              </w:rPr>
            </w:pPr>
            <w:r>
              <w:rPr>
                <w:sz w:val="16"/>
                <w:szCs w:val="16"/>
              </w:rPr>
              <w:t>ARRs – section 12</w:t>
            </w:r>
            <w:r w:rsidRPr="00562CEA">
              <w:rPr>
                <w:sz w:val="16"/>
                <w:szCs w:val="16"/>
              </w:rPr>
              <w:t>.1</w:t>
            </w:r>
          </w:p>
        </w:tc>
        <w:tc>
          <w:tcPr>
            <w:tcW w:w="1654" w:type="dxa"/>
            <w:tcBorders>
              <w:top w:val="single" w:sz="4" w:space="0" w:color="auto"/>
              <w:left w:val="single" w:sz="4" w:space="0" w:color="auto"/>
              <w:bottom w:val="single" w:sz="4" w:space="0" w:color="auto"/>
            </w:tcBorders>
            <w:shd w:val="clear" w:color="auto" w:fill="auto"/>
          </w:tcPr>
          <w:p w:rsidR="00A6311B" w:rsidRPr="00112138" w:rsidRDefault="00470689" w:rsidP="00F029A0">
            <w:pPr>
              <w:pStyle w:val="Text"/>
              <w:spacing w:before="100" w:after="100"/>
              <w:jc w:val="center"/>
              <w:rPr>
                <w:sz w:val="16"/>
                <w:szCs w:val="16"/>
              </w:rPr>
            </w:pPr>
            <w:hyperlink r:id="rId31" w:history="1">
              <w:r w:rsidR="00287C77" w:rsidRPr="005B0AE8">
                <w:rPr>
                  <w:rStyle w:val="Hyperlink"/>
                  <w:sz w:val="16"/>
                  <w:szCs w:val="16"/>
                </w:rPr>
                <w:t>http://www.hpw.qld.gov.au/aboutus/ReportsPublications/AnnualReports/Pages/default.aspx</w:t>
              </w:r>
            </w:hyperlink>
            <w:r w:rsidR="00287C77">
              <w:rPr>
                <w:sz w:val="16"/>
                <w:szCs w:val="16"/>
              </w:rPr>
              <w:t xml:space="preserve"> </w:t>
            </w:r>
          </w:p>
        </w:tc>
      </w:tr>
      <w:tr w:rsidR="00A6311B" w:rsidRPr="00112138" w:rsidTr="00F029A0">
        <w:trPr>
          <w:cantSplit/>
        </w:trPr>
        <w:tc>
          <w:tcPr>
            <w:tcW w:w="1548" w:type="dxa"/>
            <w:vMerge w:val="restart"/>
            <w:tcBorders>
              <w:top w:val="single" w:sz="4" w:space="0" w:color="auto"/>
              <w:bottom w:val="single" w:sz="4" w:space="0" w:color="auto"/>
              <w:right w:val="single" w:sz="4" w:space="0" w:color="auto"/>
            </w:tcBorders>
          </w:tcPr>
          <w:p w:rsidR="00A6311B" w:rsidRPr="00112138" w:rsidRDefault="00A6311B" w:rsidP="00F029A0">
            <w:pPr>
              <w:pStyle w:val="Text"/>
              <w:spacing w:before="100" w:after="100"/>
              <w:rPr>
                <w:b/>
                <w:bCs/>
                <w:sz w:val="16"/>
                <w:szCs w:val="16"/>
              </w:rPr>
            </w:pPr>
            <w:r w:rsidRPr="00112138">
              <w:rPr>
                <w:b/>
                <w:bCs/>
                <w:sz w:val="16"/>
                <w:szCs w:val="16"/>
              </w:rPr>
              <w:t>Governance – management and structure</w:t>
            </w:r>
          </w:p>
        </w:tc>
        <w:tc>
          <w:tcPr>
            <w:tcW w:w="4122" w:type="dxa"/>
            <w:tcBorders>
              <w:top w:val="single" w:sz="4" w:space="0" w:color="auto"/>
              <w:left w:val="single" w:sz="4" w:space="0" w:color="auto"/>
              <w:bottom w:val="single" w:sz="4" w:space="0" w:color="auto"/>
              <w:right w:val="single" w:sz="4" w:space="0" w:color="auto"/>
            </w:tcBorders>
          </w:tcPr>
          <w:p w:rsidR="00A6311B" w:rsidRPr="00112138" w:rsidRDefault="00A6311B" w:rsidP="00A6311B">
            <w:pPr>
              <w:pStyle w:val="Text"/>
              <w:numPr>
                <w:ilvl w:val="0"/>
                <w:numId w:val="113"/>
              </w:numPr>
              <w:tabs>
                <w:tab w:val="clear" w:pos="360"/>
                <w:tab w:val="num" w:pos="252"/>
              </w:tabs>
              <w:spacing w:before="100" w:after="100"/>
              <w:ind w:left="252" w:hanging="252"/>
              <w:rPr>
                <w:b/>
                <w:sz w:val="16"/>
                <w:szCs w:val="16"/>
              </w:rPr>
            </w:pPr>
            <w:r w:rsidRPr="00977D5F">
              <w:rPr>
                <w:b/>
                <w:sz w:val="16"/>
                <w:szCs w:val="16"/>
              </w:rPr>
              <w:t xml:space="preserve">Organisational structure </w:t>
            </w:r>
          </w:p>
        </w:tc>
        <w:tc>
          <w:tcPr>
            <w:tcW w:w="2268" w:type="dxa"/>
            <w:tcBorders>
              <w:top w:val="single" w:sz="4" w:space="0" w:color="auto"/>
              <w:left w:val="single" w:sz="4" w:space="0" w:color="auto"/>
              <w:bottom w:val="single" w:sz="4" w:space="0" w:color="auto"/>
            </w:tcBorders>
            <w:shd w:val="clear" w:color="auto" w:fill="auto"/>
          </w:tcPr>
          <w:p w:rsidR="00A6311B" w:rsidRPr="00562CEA" w:rsidRDefault="00A6311B" w:rsidP="00F029A0">
            <w:pPr>
              <w:pStyle w:val="Text"/>
              <w:spacing w:before="100" w:after="100"/>
              <w:rPr>
                <w:sz w:val="16"/>
                <w:szCs w:val="16"/>
              </w:rPr>
            </w:pPr>
            <w:r>
              <w:rPr>
                <w:sz w:val="16"/>
                <w:szCs w:val="16"/>
              </w:rPr>
              <w:t>ARRs – section 13</w:t>
            </w:r>
            <w:r w:rsidRPr="00562CEA">
              <w:rPr>
                <w:sz w:val="16"/>
                <w:szCs w:val="16"/>
              </w:rPr>
              <w:t>.1</w:t>
            </w:r>
          </w:p>
        </w:tc>
        <w:tc>
          <w:tcPr>
            <w:tcW w:w="1654" w:type="dxa"/>
            <w:tcBorders>
              <w:top w:val="single" w:sz="4" w:space="0" w:color="auto"/>
              <w:left w:val="single" w:sz="4" w:space="0" w:color="auto"/>
              <w:bottom w:val="single" w:sz="4" w:space="0" w:color="auto"/>
            </w:tcBorders>
            <w:shd w:val="clear" w:color="auto" w:fill="auto"/>
          </w:tcPr>
          <w:p w:rsidR="00A6311B" w:rsidRPr="00112138" w:rsidRDefault="00B00909" w:rsidP="00F029A0">
            <w:pPr>
              <w:pStyle w:val="Text"/>
              <w:spacing w:before="100" w:after="100"/>
              <w:jc w:val="center"/>
              <w:rPr>
                <w:sz w:val="16"/>
                <w:szCs w:val="16"/>
              </w:rPr>
            </w:pPr>
            <w:r>
              <w:rPr>
                <w:sz w:val="16"/>
                <w:szCs w:val="16"/>
              </w:rPr>
              <w:fldChar w:fldCharType="begin"/>
            </w:r>
            <w:r>
              <w:rPr>
                <w:sz w:val="16"/>
                <w:szCs w:val="16"/>
              </w:rPr>
              <w:instrText xml:space="preserve"> PAGEREF ORGANISATIONAL_STRUCTURE \h </w:instrText>
            </w:r>
            <w:r>
              <w:rPr>
                <w:sz w:val="16"/>
                <w:szCs w:val="16"/>
              </w:rPr>
            </w:r>
            <w:r>
              <w:rPr>
                <w:sz w:val="16"/>
                <w:szCs w:val="16"/>
              </w:rPr>
              <w:fldChar w:fldCharType="separate"/>
            </w:r>
            <w:r w:rsidR="00791D73">
              <w:rPr>
                <w:noProof/>
                <w:sz w:val="16"/>
                <w:szCs w:val="16"/>
              </w:rPr>
              <w:t>13</w:t>
            </w:r>
            <w:r>
              <w:rPr>
                <w:sz w:val="16"/>
                <w:szCs w:val="16"/>
              </w:rPr>
              <w:fldChar w:fldCharType="end"/>
            </w:r>
            <w:r>
              <w:rPr>
                <w:sz w:val="16"/>
                <w:szCs w:val="16"/>
              </w:rPr>
              <w:t>-</w:t>
            </w:r>
            <w:r>
              <w:rPr>
                <w:sz w:val="16"/>
                <w:szCs w:val="16"/>
              </w:rPr>
              <w:fldChar w:fldCharType="begin"/>
            </w:r>
            <w:r>
              <w:rPr>
                <w:sz w:val="16"/>
                <w:szCs w:val="16"/>
              </w:rPr>
              <w:instrText xml:space="preserve"> PAGEREF ORGANISATIONAL_STRUCTURE_CHART \h </w:instrText>
            </w:r>
            <w:r>
              <w:rPr>
                <w:sz w:val="16"/>
                <w:szCs w:val="16"/>
              </w:rPr>
            </w:r>
            <w:r>
              <w:rPr>
                <w:sz w:val="16"/>
                <w:szCs w:val="16"/>
              </w:rPr>
              <w:fldChar w:fldCharType="separate"/>
            </w:r>
            <w:r w:rsidR="00791D73">
              <w:rPr>
                <w:noProof/>
                <w:sz w:val="16"/>
                <w:szCs w:val="16"/>
              </w:rPr>
              <w:t>14</w:t>
            </w:r>
            <w:r>
              <w:rPr>
                <w:sz w:val="16"/>
                <w:szCs w:val="16"/>
              </w:rPr>
              <w:fldChar w:fldCharType="end"/>
            </w:r>
          </w:p>
        </w:tc>
      </w:tr>
      <w:tr w:rsidR="00A6311B" w:rsidRPr="00112138" w:rsidTr="00F029A0">
        <w:trPr>
          <w:cantSplit/>
        </w:trPr>
        <w:tc>
          <w:tcPr>
            <w:tcW w:w="1548" w:type="dxa"/>
            <w:vMerge/>
            <w:tcBorders>
              <w:top w:val="single" w:sz="4" w:space="0" w:color="auto"/>
              <w:bottom w:val="single" w:sz="4" w:space="0" w:color="auto"/>
              <w:right w:val="single" w:sz="4" w:space="0" w:color="auto"/>
            </w:tcBorders>
          </w:tcPr>
          <w:p w:rsidR="00A6311B" w:rsidRPr="00112138" w:rsidRDefault="00A6311B" w:rsidP="00F029A0">
            <w:pPr>
              <w:pStyle w:val="Text"/>
              <w:spacing w:before="100" w:after="100"/>
              <w:rPr>
                <w:b/>
                <w:bCs/>
                <w:sz w:val="16"/>
                <w:szCs w:val="16"/>
              </w:rPr>
            </w:pPr>
          </w:p>
        </w:tc>
        <w:tc>
          <w:tcPr>
            <w:tcW w:w="4122" w:type="dxa"/>
            <w:tcBorders>
              <w:top w:val="single" w:sz="4" w:space="0" w:color="auto"/>
              <w:left w:val="single" w:sz="4" w:space="0" w:color="auto"/>
              <w:bottom w:val="single" w:sz="4" w:space="0" w:color="auto"/>
              <w:right w:val="single" w:sz="4" w:space="0" w:color="auto"/>
            </w:tcBorders>
          </w:tcPr>
          <w:p w:rsidR="00A6311B" w:rsidRPr="00977D5F" w:rsidRDefault="00A6311B" w:rsidP="00A6311B">
            <w:pPr>
              <w:pStyle w:val="Text"/>
              <w:numPr>
                <w:ilvl w:val="0"/>
                <w:numId w:val="113"/>
              </w:numPr>
              <w:tabs>
                <w:tab w:val="clear" w:pos="360"/>
                <w:tab w:val="num" w:pos="252"/>
              </w:tabs>
              <w:spacing w:before="100" w:after="100"/>
              <w:ind w:left="252" w:hanging="252"/>
              <w:rPr>
                <w:b/>
                <w:sz w:val="16"/>
                <w:szCs w:val="16"/>
              </w:rPr>
            </w:pPr>
            <w:r w:rsidRPr="00977D5F">
              <w:rPr>
                <w:b/>
                <w:sz w:val="16"/>
                <w:szCs w:val="16"/>
              </w:rPr>
              <w:t>Executive management</w:t>
            </w:r>
          </w:p>
        </w:tc>
        <w:tc>
          <w:tcPr>
            <w:tcW w:w="2268" w:type="dxa"/>
            <w:tcBorders>
              <w:top w:val="single" w:sz="4" w:space="0" w:color="auto"/>
              <w:left w:val="single" w:sz="4" w:space="0" w:color="auto"/>
              <w:bottom w:val="single" w:sz="4" w:space="0" w:color="auto"/>
            </w:tcBorders>
            <w:shd w:val="clear" w:color="auto" w:fill="auto"/>
          </w:tcPr>
          <w:p w:rsidR="00A6311B" w:rsidRPr="00977D5F" w:rsidRDefault="00A6311B" w:rsidP="00F029A0">
            <w:pPr>
              <w:pStyle w:val="Text"/>
              <w:spacing w:before="100" w:after="100"/>
              <w:rPr>
                <w:sz w:val="16"/>
                <w:szCs w:val="16"/>
              </w:rPr>
            </w:pPr>
            <w:r>
              <w:rPr>
                <w:sz w:val="16"/>
                <w:szCs w:val="16"/>
              </w:rPr>
              <w:t>ARRs – section 13</w:t>
            </w:r>
            <w:r w:rsidRPr="00977D5F">
              <w:rPr>
                <w:sz w:val="16"/>
                <w:szCs w:val="16"/>
              </w:rPr>
              <w:t>.2</w:t>
            </w:r>
          </w:p>
        </w:tc>
        <w:tc>
          <w:tcPr>
            <w:tcW w:w="1654" w:type="dxa"/>
            <w:tcBorders>
              <w:top w:val="single" w:sz="4" w:space="0" w:color="auto"/>
              <w:left w:val="single" w:sz="4" w:space="0" w:color="auto"/>
              <w:bottom w:val="single" w:sz="4" w:space="0" w:color="auto"/>
            </w:tcBorders>
            <w:shd w:val="clear" w:color="auto" w:fill="auto"/>
          </w:tcPr>
          <w:p w:rsidR="00A6311B" w:rsidRPr="00112138" w:rsidRDefault="00287C77" w:rsidP="00F029A0">
            <w:pPr>
              <w:pStyle w:val="Text"/>
              <w:spacing w:before="100" w:after="100"/>
              <w:jc w:val="center"/>
              <w:rPr>
                <w:sz w:val="16"/>
                <w:szCs w:val="16"/>
              </w:rPr>
            </w:pPr>
            <w:r>
              <w:rPr>
                <w:sz w:val="16"/>
                <w:szCs w:val="16"/>
              </w:rPr>
              <w:fldChar w:fldCharType="begin"/>
            </w:r>
            <w:r>
              <w:rPr>
                <w:sz w:val="16"/>
                <w:szCs w:val="16"/>
              </w:rPr>
              <w:instrText xml:space="preserve"> PAGEREF EXECUTIVE_MANAGEMENT_START \h </w:instrText>
            </w:r>
            <w:r>
              <w:rPr>
                <w:sz w:val="16"/>
                <w:szCs w:val="16"/>
              </w:rPr>
            </w:r>
            <w:r>
              <w:rPr>
                <w:sz w:val="16"/>
                <w:szCs w:val="16"/>
              </w:rPr>
              <w:fldChar w:fldCharType="separate"/>
            </w:r>
            <w:r w:rsidR="00791D73">
              <w:rPr>
                <w:noProof/>
                <w:sz w:val="16"/>
                <w:szCs w:val="16"/>
              </w:rPr>
              <w:t>73</w:t>
            </w:r>
            <w:r>
              <w:rPr>
                <w:sz w:val="16"/>
                <w:szCs w:val="16"/>
              </w:rPr>
              <w:fldChar w:fldCharType="end"/>
            </w:r>
            <w:r>
              <w:rPr>
                <w:sz w:val="16"/>
                <w:szCs w:val="16"/>
              </w:rPr>
              <w:t>-</w:t>
            </w:r>
            <w:r>
              <w:rPr>
                <w:sz w:val="16"/>
                <w:szCs w:val="16"/>
              </w:rPr>
              <w:fldChar w:fldCharType="begin"/>
            </w:r>
            <w:r>
              <w:rPr>
                <w:sz w:val="16"/>
                <w:szCs w:val="16"/>
              </w:rPr>
              <w:instrText xml:space="preserve"> PAGEREF EXECUTIVE_MANAGEMENT_END \h </w:instrText>
            </w:r>
            <w:r>
              <w:rPr>
                <w:sz w:val="16"/>
                <w:szCs w:val="16"/>
              </w:rPr>
            </w:r>
            <w:r>
              <w:rPr>
                <w:sz w:val="16"/>
                <w:szCs w:val="16"/>
              </w:rPr>
              <w:fldChar w:fldCharType="separate"/>
            </w:r>
            <w:r w:rsidR="00791D73">
              <w:rPr>
                <w:noProof/>
                <w:sz w:val="16"/>
                <w:szCs w:val="16"/>
              </w:rPr>
              <w:t>77</w:t>
            </w:r>
            <w:r>
              <w:rPr>
                <w:sz w:val="16"/>
                <w:szCs w:val="16"/>
              </w:rPr>
              <w:fldChar w:fldCharType="end"/>
            </w:r>
          </w:p>
        </w:tc>
      </w:tr>
      <w:tr w:rsidR="00A6311B" w:rsidRPr="00112138" w:rsidTr="00F029A0">
        <w:trPr>
          <w:cantSplit/>
        </w:trPr>
        <w:tc>
          <w:tcPr>
            <w:tcW w:w="1548" w:type="dxa"/>
            <w:vMerge/>
            <w:tcBorders>
              <w:top w:val="single" w:sz="4" w:space="0" w:color="auto"/>
              <w:bottom w:val="single" w:sz="4" w:space="0" w:color="auto"/>
              <w:right w:val="single" w:sz="4" w:space="0" w:color="auto"/>
            </w:tcBorders>
          </w:tcPr>
          <w:p w:rsidR="00A6311B" w:rsidRPr="00112138" w:rsidRDefault="00A6311B" w:rsidP="00F029A0">
            <w:pPr>
              <w:pStyle w:val="Text"/>
              <w:spacing w:before="100" w:after="100"/>
              <w:rPr>
                <w:b/>
                <w:bCs/>
                <w:sz w:val="16"/>
              </w:rPr>
            </w:pPr>
          </w:p>
        </w:tc>
        <w:tc>
          <w:tcPr>
            <w:tcW w:w="4122" w:type="dxa"/>
            <w:tcBorders>
              <w:top w:val="single" w:sz="4" w:space="0" w:color="auto"/>
              <w:left w:val="single" w:sz="4" w:space="0" w:color="auto"/>
              <w:bottom w:val="single" w:sz="4" w:space="0" w:color="auto"/>
              <w:right w:val="single" w:sz="4" w:space="0" w:color="auto"/>
            </w:tcBorders>
          </w:tcPr>
          <w:p w:rsidR="00A6311B" w:rsidRPr="00E522CB" w:rsidRDefault="00A6311B" w:rsidP="00A6311B">
            <w:pPr>
              <w:pStyle w:val="Text"/>
              <w:numPr>
                <w:ilvl w:val="0"/>
                <w:numId w:val="113"/>
              </w:numPr>
              <w:tabs>
                <w:tab w:val="clear" w:pos="360"/>
                <w:tab w:val="num" w:pos="252"/>
              </w:tabs>
              <w:spacing w:before="100" w:after="100"/>
              <w:ind w:left="252" w:hanging="252"/>
              <w:rPr>
                <w:b/>
                <w:sz w:val="16"/>
                <w:szCs w:val="16"/>
              </w:rPr>
            </w:pPr>
            <w:r w:rsidRPr="00E522CB">
              <w:rPr>
                <w:b/>
                <w:sz w:val="16"/>
                <w:szCs w:val="16"/>
              </w:rPr>
              <w:t>Government bodies (statutory bodies and other entities)</w:t>
            </w:r>
          </w:p>
        </w:tc>
        <w:tc>
          <w:tcPr>
            <w:tcW w:w="2268" w:type="dxa"/>
            <w:tcBorders>
              <w:top w:val="single" w:sz="4" w:space="0" w:color="auto"/>
              <w:left w:val="single" w:sz="4" w:space="0" w:color="auto"/>
              <w:bottom w:val="single" w:sz="4" w:space="0" w:color="auto"/>
            </w:tcBorders>
            <w:shd w:val="clear" w:color="auto" w:fill="auto"/>
          </w:tcPr>
          <w:p w:rsidR="00A6311B" w:rsidRPr="00E522CB" w:rsidRDefault="00A6311B" w:rsidP="00F029A0">
            <w:pPr>
              <w:pStyle w:val="Text"/>
              <w:spacing w:before="100" w:after="100"/>
              <w:rPr>
                <w:sz w:val="16"/>
                <w:szCs w:val="16"/>
              </w:rPr>
            </w:pPr>
            <w:r w:rsidRPr="00E522CB">
              <w:rPr>
                <w:sz w:val="16"/>
                <w:szCs w:val="16"/>
              </w:rPr>
              <w:t>ARRs – section</w:t>
            </w:r>
            <w:r>
              <w:rPr>
                <w:sz w:val="16"/>
                <w:szCs w:val="16"/>
              </w:rPr>
              <w:t xml:space="preserve"> 13</w:t>
            </w:r>
            <w:r w:rsidRPr="00E522CB">
              <w:rPr>
                <w:sz w:val="16"/>
                <w:szCs w:val="16"/>
              </w:rPr>
              <w:t>.</w:t>
            </w:r>
            <w:r>
              <w:rPr>
                <w:sz w:val="16"/>
                <w:szCs w:val="16"/>
              </w:rPr>
              <w:t>3</w:t>
            </w:r>
          </w:p>
        </w:tc>
        <w:tc>
          <w:tcPr>
            <w:tcW w:w="1654" w:type="dxa"/>
            <w:tcBorders>
              <w:top w:val="single" w:sz="4" w:space="0" w:color="auto"/>
              <w:left w:val="single" w:sz="4" w:space="0" w:color="auto"/>
              <w:bottom w:val="single" w:sz="4" w:space="0" w:color="auto"/>
            </w:tcBorders>
            <w:shd w:val="clear" w:color="auto" w:fill="auto"/>
          </w:tcPr>
          <w:p w:rsidR="00A6311B" w:rsidRPr="00112138" w:rsidRDefault="00287C77" w:rsidP="00F029A0">
            <w:pPr>
              <w:pStyle w:val="Text"/>
              <w:spacing w:before="100" w:after="100"/>
              <w:jc w:val="center"/>
              <w:rPr>
                <w:sz w:val="16"/>
                <w:szCs w:val="16"/>
              </w:rPr>
            </w:pPr>
            <w:r>
              <w:rPr>
                <w:sz w:val="16"/>
                <w:szCs w:val="16"/>
              </w:rPr>
              <w:fldChar w:fldCharType="begin"/>
            </w:r>
            <w:r>
              <w:rPr>
                <w:sz w:val="16"/>
                <w:szCs w:val="16"/>
              </w:rPr>
              <w:instrText xml:space="preserve"> PAGEREF GOVERNMENT_BODIES \h </w:instrText>
            </w:r>
            <w:r>
              <w:rPr>
                <w:sz w:val="16"/>
                <w:szCs w:val="16"/>
              </w:rPr>
            </w:r>
            <w:r>
              <w:rPr>
                <w:sz w:val="16"/>
                <w:szCs w:val="16"/>
              </w:rPr>
              <w:fldChar w:fldCharType="separate"/>
            </w:r>
            <w:r w:rsidR="00791D73">
              <w:rPr>
                <w:noProof/>
                <w:sz w:val="16"/>
                <w:szCs w:val="16"/>
              </w:rPr>
              <w:t>91</w:t>
            </w:r>
            <w:r>
              <w:rPr>
                <w:sz w:val="16"/>
                <w:szCs w:val="16"/>
              </w:rPr>
              <w:fldChar w:fldCharType="end"/>
            </w:r>
          </w:p>
        </w:tc>
      </w:tr>
      <w:tr w:rsidR="00A6311B" w:rsidRPr="00112138" w:rsidTr="00F029A0">
        <w:trPr>
          <w:cantSplit/>
        </w:trPr>
        <w:tc>
          <w:tcPr>
            <w:tcW w:w="1548" w:type="dxa"/>
            <w:vMerge/>
            <w:tcBorders>
              <w:top w:val="single" w:sz="4" w:space="0" w:color="auto"/>
              <w:bottom w:val="single" w:sz="4" w:space="0" w:color="auto"/>
              <w:right w:val="single" w:sz="4" w:space="0" w:color="auto"/>
            </w:tcBorders>
          </w:tcPr>
          <w:p w:rsidR="00A6311B" w:rsidRPr="00112138" w:rsidRDefault="00A6311B" w:rsidP="00F029A0">
            <w:pPr>
              <w:pStyle w:val="Text"/>
              <w:spacing w:before="100" w:after="100"/>
              <w:rPr>
                <w:b/>
                <w:bCs/>
                <w:sz w:val="16"/>
              </w:rPr>
            </w:pPr>
          </w:p>
        </w:tc>
        <w:tc>
          <w:tcPr>
            <w:tcW w:w="4122" w:type="dxa"/>
            <w:tcBorders>
              <w:top w:val="single" w:sz="4" w:space="0" w:color="auto"/>
              <w:left w:val="single" w:sz="4" w:space="0" w:color="auto"/>
              <w:bottom w:val="single" w:sz="4" w:space="0" w:color="auto"/>
              <w:right w:val="single" w:sz="4" w:space="0" w:color="auto"/>
            </w:tcBorders>
          </w:tcPr>
          <w:p w:rsidR="00A6311B" w:rsidRDefault="00A6311B" w:rsidP="00A6311B">
            <w:pPr>
              <w:pStyle w:val="Text"/>
              <w:numPr>
                <w:ilvl w:val="0"/>
                <w:numId w:val="113"/>
              </w:numPr>
              <w:tabs>
                <w:tab w:val="clear" w:pos="360"/>
                <w:tab w:val="num" w:pos="252"/>
              </w:tabs>
              <w:spacing w:before="100" w:after="100"/>
              <w:ind w:left="252" w:hanging="252"/>
              <w:rPr>
                <w:b/>
                <w:sz w:val="16"/>
                <w:szCs w:val="16"/>
              </w:rPr>
            </w:pPr>
            <w:r w:rsidRPr="00977D5F">
              <w:rPr>
                <w:b/>
                <w:i/>
                <w:sz w:val="16"/>
                <w:szCs w:val="16"/>
              </w:rPr>
              <w:t>Public Sector Ethics Act 1994</w:t>
            </w:r>
          </w:p>
        </w:tc>
        <w:tc>
          <w:tcPr>
            <w:tcW w:w="2268" w:type="dxa"/>
            <w:tcBorders>
              <w:top w:val="single" w:sz="4" w:space="0" w:color="auto"/>
              <w:left w:val="single" w:sz="4" w:space="0" w:color="auto"/>
              <w:bottom w:val="single" w:sz="4" w:space="0" w:color="auto"/>
            </w:tcBorders>
            <w:shd w:val="clear" w:color="auto" w:fill="auto"/>
          </w:tcPr>
          <w:p w:rsidR="00A6311B" w:rsidRPr="00977D5F" w:rsidRDefault="00A6311B" w:rsidP="00F029A0">
            <w:pPr>
              <w:pStyle w:val="Text"/>
              <w:spacing w:before="100" w:after="100"/>
              <w:rPr>
                <w:i/>
                <w:sz w:val="16"/>
                <w:szCs w:val="16"/>
              </w:rPr>
            </w:pPr>
            <w:r w:rsidRPr="00977D5F">
              <w:rPr>
                <w:i/>
                <w:sz w:val="16"/>
                <w:szCs w:val="16"/>
              </w:rPr>
              <w:t>Public Sector Ethics Act 1994</w:t>
            </w:r>
          </w:p>
          <w:p w:rsidR="00A6311B" w:rsidRPr="00E522CB" w:rsidRDefault="00A6311B" w:rsidP="00F029A0">
            <w:pPr>
              <w:pStyle w:val="Text"/>
              <w:spacing w:before="100" w:after="100"/>
              <w:rPr>
                <w:sz w:val="16"/>
                <w:szCs w:val="16"/>
              </w:rPr>
            </w:pPr>
            <w:r>
              <w:rPr>
                <w:sz w:val="16"/>
                <w:szCs w:val="16"/>
              </w:rPr>
              <w:t>ARRs – section 13</w:t>
            </w:r>
            <w:r w:rsidRPr="00977D5F">
              <w:rPr>
                <w:sz w:val="16"/>
                <w:szCs w:val="16"/>
              </w:rPr>
              <w:t>.</w:t>
            </w:r>
            <w:r>
              <w:rPr>
                <w:sz w:val="16"/>
                <w:szCs w:val="16"/>
              </w:rPr>
              <w:t>4</w:t>
            </w:r>
          </w:p>
        </w:tc>
        <w:tc>
          <w:tcPr>
            <w:tcW w:w="1654" w:type="dxa"/>
            <w:tcBorders>
              <w:top w:val="single" w:sz="4" w:space="0" w:color="auto"/>
              <w:left w:val="single" w:sz="4" w:space="0" w:color="auto"/>
              <w:bottom w:val="single" w:sz="4" w:space="0" w:color="auto"/>
            </w:tcBorders>
            <w:shd w:val="clear" w:color="auto" w:fill="auto"/>
          </w:tcPr>
          <w:p w:rsidR="00A6311B" w:rsidRPr="00112138" w:rsidRDefault="004B1A68" w:rsidP="00F029A0">
            <w:pPr>
              <w:pStyle w:val="Text"/>
              <w:spacing w:before="100" w:after="100"/>
              <w:jc w:val="center"/>
              <w:rPr>
                <w:sz w:val="16"/>
                <w:szCs w:val="16"/>
              </w:rPr>
            </w:pPr>
            <w:r>
              <w:rPr>
                <w:sz w:val="16"/>
                <w:szCs w:val="16"/>
              </w:rPr>
              <w:fldChar w:fldCharType="begin"/>
            </w:r>
            <w:r>
              <w:rPr>
                <w:sz w:val="16"/>
                <w:szCs w:val="16"/>
              </w:rPr>
              <w:instrText xml:space="preserve"> PAGEREF ETHICS_ACT \h </w:instrText>
            </w:r>
            <w:r>
              <w:rPr>
                <w:sz w:val="16"/>
                <w:szCs w:val="16"/>
              </w:rPr>
            </w:r>
            <w:r>
              <w:rPr>
                <w:sz w:val="16"/>
                <w:szCs w:val="16"/>
              </w:rPr>
              <w:fldChar w:fldCharType="separate"/>
            </w:r>
            <w:r w:rsidR="00791D73">
              <w:rPr>
                <w:noProof/>
                <w:sz w:val="16"/>
                <w:szCs w:val="16"/>
              </w:rPr>
              <w:t>73</w:t>
            </w:r>
            <w:r>
              <w:rPr>
                <w:sz w:val="16"/>
                <w:szCs w:val="16"/>
              </w:rPr>
              <w:fldChar w:fldCharType="end"/>
            </w:r>
          </w:p>
        </w:tc>
      </w:tr>
      <w:tr w:rsidR="00A6311B" w:rsidRPr="00112138" w:rsidTr="00F029A0">
        <w:trPr>
          <w:cantSplit/>
        </w:trPr>
        <w:tc>
          <w:tcPr>
            <w:tcW w:w="1548" w:type="dxa"/>
            <w:vMerge/>
            <w:tcBorders>
              <w:top w:val="single" w:sz="4" w:space="0" w:color="auto"/>
              <w:bottom w:val="single" w:sz="4" w:space="0" w:color="auto"/>
              <w:right w:val="single" w:sz="4" w:space="0" w:color="auto"/>
            </w:tcBorders>
          </w:tcPr>
          <w:p w:rsidR="00A6311B" w:rsidRPr="00112138" w:rsidRDefault="00A6311B" w:rsidP="00F029A0">
            <w:pPr>
              <w:pStyle w:val="Text"/>
              <w:spacing w:before="100" w:after="100"/>
              <w:rPr>
                <w:b/>
                <w:bCs/>
                <w:sz w:val="16"/>
              </w:rPr>
            </w:pPr>
          </w:p>
        </w:tc>
        <w:tc>
          <w:tcPr>
            <w:tcW w:w="4122" w:type="dxa"/>
            <w:tcBorders>
              <w:top w:val="single" w:sz="4" w:space="0" w:color="auto"/>
              <w:left w:val="single" w:sz="4" w:space="0" w:color="auto"/>
              <w:bottom w:val="single" w:sz="4" w:space="0" w:color="auto"/>
              <w:right w:val="single" w:sz="4" w:space="0" w:color="auto"/>
            </w:tcBorders>
          </w:tcPr>
          <w:p w:rsidR="00A6311B" w:rsidRPr="00E522CB" w:rsidRDefault="00A6311B" w:rsidP="00A6311B">
            <w:pPr>
              <w:pStyle w:val="Text"/>
              <w:numPr>
                <w:ilvl w:val="0"/>
                <w:numId w:val="113"/>
              </w:numPr>
              <w:tabs>
                <w:tab w:val="clear" w:pos="360"/>
                <w:tab w:val="num" w:pos="252"/>
              </w:tabs>
              <w:spacing w:before="100" w:after="100"/>
              <w:ind w:left="252" w:hanging="252"/>
              <w:rPr>
                <w:b/>
                <w:i/>
                <w:sz w:val="16"/>
                <w:szCs w:val="16"/>
              </w:rPr>
            </w:pPr>
            <w:r>
              <w:rPr>
                <w:b/>
                <w:sz w:val="16"/>
                <w:szCs w:val="16"/>
              </w:rPr>
              <w:t>Queensland public service values</w:t>
            </w:r>
          </w:p>
        </w:tc>
        <w:tc>
          <w:tcPr>
            <w:tcW w:w="2268" w:type="dxa"/>
            <w:tcBorders>
              <w:top w:val="single" w:sz="4" w:space="0" w:color="auto"/>
              <w:left w:val="single" w:sz="4" w:space="0" w:color="auto"/>
              <w:bottom w:val="single" w:sz="4" w:space="0" w:color="auto"/>
            </w:tcBorders>
            <w:shd w:val="clear" w:color="auto" w:fill="auto"/>
          </w:tcPr>
          <w:p w:rsidR="00A6311B" w:rsidRPr="00E522CB" w:rsidRDefault="00A6311B" w:rsidP="00F029A0">
            <w:pPr>
              <w:pStyle w:val="Text"/>
              <w:spacing w:before="100" w:after="100"/>
              <w:rPr>
                <w:i/>
                <w:sz w:val="16"/>
                <w:szCs w:val="16"/>
              </w:rPr>
            </w:pPr>
            <w:r>
              <w:rPr>
                <w:sz w:val="16"/>
                <w:szCs w:val="16"/>
              </w:rPr>
              <w:t>ARRs – section 13</w:t>
            </w:r>
            <w:r w:rsidRPr="00E522CB">
              <w:rPr>
                <w:sz w:val="16"/>
                <w:szCs w:val="16"/>
              </w:rPr>
              <w:t>.</w:t>
            </w:r>
            <w:r>
              <w:rPr>
                <w:sz w:val="16"/>
                <w:szCs w:val="16"/>
              </w:rPr>
              <w:t>5</w:t>
            </w:r>
          </w:p>
        </w:tc>
        <w:tc>
          <w:tcPr>
            <w:tcW w:w="1654" w:type="dxa"/>
            <w:tcBorders>
              <w:top w:val="single" w:sz="4" w:space="0" w:color="auto"/>
              <w:left w:val="single" w:sz="4" w:space="0" w:color="auto"/>
              <w:bottom w:val="single" w:sz="4" w:space="0" w:color="auto"/>
            </w:tcBorders>
            <w:shd w:val="clear" w:color="auto" w:fill="auto"/>
          </w:tcPr>
          <w:p w:rsidR="00A6311B" w:rsidRPr="00112138" w:rsidRDefault="00B00909" w:rsidP="00F029A0">
            <w:pPr>
              <w:pStyle w:val="Text"/>
              <w:spacing w:before="100" w:after="100"/>
              <w:jc w:val="center"/>
              <w:rPr>
                <w:sz w:val="16"/>
                <w:szCs w:val="16"/>
              </w:rPr>
            </w:pPr>
            <w:r>
              <w:rPr>
                <w:sz w:val="16"/>
                <w:szCs w:val="16"/>
              </w:rPr>
              <w:fldChar w:fldCharType="begin"/>
            </w:r>
            <w:r>
              <w:rPr>
                <w:sz w:val="16"/>
                <w:szCs w:val="16"/>
              </w:rPr>
              <w:instrText xml:space="preserve"> PAGEREF OUR_VALUES \h </w:instrText>
            </w:r>
            <w:r>
              <w:rPr>
                <w:sz w:val="16"/>
                <w:szCs w:val="16"/>
              </w:rPr>
            </w:r>
            <w:r>
              <w:rPr>
                <w:sz w:val="16"/>
                <w:szCs w:val="16"/>
              </w:rPr>
              <w:fldChar w:fldCharType="separate"/>
            </w:r>
            <w:r w:rsidR="00791D73">
              <w:rPr>
                <w:noProof/>
                <w:sz w:val="16"/>
                <w:szCs w:val="16"/>
              </w:rPr>
              <w:t>11</w:t>
            </w:r>
            <w:r>
              <w:rPr>
                <w:sz w:val="16"/>
                <w:szCs w:val="16"/>
              </w:rPr>
              <w:fldChar w:fldCharType="end"/>
            </w:r>
            <w:r>
              <w:rPr>
                <w:sz w:val="16"/>
                <w:szCs w:val="16"/>
              </w:rPr>
              <w:fldChar w:fldCharType="begin"/>
            </w:r>
            <w:r>
              <w:rPr>
                <w:sz w:val="16"/>
                <w:szCs w:val="16"/>
              </w:rPr>
              <w:instrText xml:space="preserve"> PAGEREF PUBLIC_AVAILABLITY \h </w:instrText>
            </w:r>
            <w:r>
              <w:rPr>
                <w:sz w:val="16"/>
                <w:szCs w:val="16"/>
              </w:rPr>
            </w:r>
            <w:r>
              <w:rPr>
                <w:sz w:val="16"/>
                <w:szCs w:val="16"/>
              </w:rPr>
              <w:fldChar w:fldCharType="separate"/>
            </w:r>
            <w:r w:rsidR="00791D73">
              <w:rPr>
                <w:noProof/>
                <w:sz w:val="16"/>
                <w:szCs w:val="16"/>
              </w:rPr>
              <w:t>4</w:t>
            </w:r>
            <w:r>
              <w:rPr>
                <w:sz w:val="16"/>
                <w:szCs w:val="16"/>
              </w:rPr>
              <w:fldChar w:fldCharType="end"/>
            </w:r>
          </w:p>
        </w:tc>
      </w:tr>
      <w:tr w:rsidR="00A6311B" w:rsidRPr="00112138" w:rsidTr="00F029A0">
        <w:trPr>
          <w:cantSplit/>
        </w:trPr>
        <w:tc>
          <w:tcPr>
            <w:tcW w:w="1548" w:type="dxa"/>
            <w:vMerge w:val="restart"/>
            <w:tcBorders>
              <w:top w:val="single" w:sz="4" w:space="0" w:color="auto"/>
              <w:right w:val="single" w:sz="4" w:space="0" w:color="auto"/>
            </w:tcBorders>
          </w:tcPr>
          <w:p w:rsidR="00A6311B" w:rsidRPr="00112138" w:rsidRDefault="00A6311B" w:rsidP="00F029A0">
            <w:pPr>
              <w:pStyle w:val="Text"/>
              <w:spacing w:before="100" w:after="100"/>
              <w:rPr>
                <w:b/>
                <w:bCs/>
                <w:sz w:val="16"/>
                <w:szCs w:val="16"/>
              </w:rPr>
            </w:pPr>
            <w:r w:rsidRPr="00112138">
              <w:rPr>
                <w:b/>
                <w:bCs/>
                <w:sz w:val="16"/>
                <w:szCs w:val="16"/>
              </w:rPr>
              <w:t xml:space="preserve">Governance – risk management </w:t>
            </w:r>
            <w:r w:rsidRPr="00112138">
              <w:rPr>
                <w:b/>
                <w:bCs/>
                <w:sz w:val="16"/>
                <w:szCs w:val="16"/>
              </w:rPr>
              <w:lastRenderedPageBreak/>
              <w:t>and accountability</w:t>
            </w:r>
          </w:p>
        </w:tc>
        <w:tc>
          <w:tcPr>
            <w:tcW w:w="4122" w:type="dxa"/>
            <w:tcBorders>
              <w:top w:val="nil"/>
              <w:left w:val="single" w:sz="4" w:space="0" w:color="auto"/>
              <w:bottom w:val="single" w:sz="4" w:space="0" w:color="auto"/>
              <w:right w:val="single" w:sz="4" w:space="0" w:color="auto"/>
            </w:tcBorders>
          </w:tcPr>
          <w:p w:rsidR="00A6311B" w:rsidRPr="00112138" w:rsidRDefault="00A6311B" w:rsidP="00A6311B">
            <w:pPr>
              <w:pStyle w:val="Text"/>
              <w:numPr>
                <w:ilvl w:val="0"/>
                <w:numId w:val="113"/>
              </w:numPr>
              <w:tabs>
                <w:tab w:val="clear" w:pos="360"/>
                <w:tab w:val="num" w:pos="252"/>
              </w:tabs>
              <w:spacing w:before="100" w:after="100"/>
              <w:ind w:left="252" w:hanging="252"/>
              <w:rPr>
                <w:b/>
                <w:sz w:val="16"/>
                <w:szCs w:val="16"/>
              </w:rPr>
            </w:pPr>
            <w:r w:rsidRPr="00112138">
              <w:rPr>
                <w:b/>
                <w:sz w:val="16"/>
                <w:szCs w:val="16"/>
              </w:rPr>
              <w:lastRenderedPageBreak/>
              <w:t>Risk management</w:t>
            </w:r>
          </w:p>
        </w:tc>
        <w:tc>
          <w:tcPr>
            <w:tcW w:w="2268" w:type="dxa"/>
            <w:tcBorders>
              <w:top w:val="nil"/>
              <w:left w:val="single" w:sz="4" w:space="0" w:color="auto"/>
              <w:bottom w:val="single" w:sz="4" w:space="0" w:color="auto"/>
            </w:tcBorders>
            <w:shd w:val="clear" w:color="auto" w:fill="auto"/>
          </w:tcPr>
          <w:p w:rsidR="00A6311B" w:rsidRPr="00562CEA" w:rsidRDefault="00A6311B" w:rsidP="00F029A0">
            <w:pPr>
              <w:pStyle w:val="Text"/>
              <w:tabs>
                <w:tab w:val="right" w:pos="2304"/>
              </w:tabs>
              <w:spacing w:before="100" w:after="100"/>
              <w:rPr>
                <w:sz w:val="16"/>
                <w:szCs w:val="16"/>
              </w:rPr>
            </w:pPr>
            <w:r>
              <w:rPr>
                <w:sz w:val="16"/>
                <w:szCs w:val="16"/>
              </w:rPr>
              <w:t>ARRs – section 14.1</w:t>
            </w:r>
          </w:p>
        </w:tc>
        <w:tc>
          <w:tcPr>
            <w:tcW w:w="1654" w:type="dxa"/>
            <w:tcBorders>
              <w:top w:val="nil"/>
              <w:left w:val="single" w:sz="4" w:space="0" w:color="auto"/>
              <w:bottom w:val="single" w:sz="4" w:space="0" w:color="auto"/>
            </w:tcBorders>
            <w:shd w:val="clear" w:color="auto" w:fill="auto"/>
          </w:tcPr>
          <w:p w:rsidR="00A6311B" w:rsidRPr="00112138" w:rsidRDefault="004B1A68" w:rsidP="00F029A0">
            <w:pPr>
              <w:pStyle w:val="Text"/>
              <w:spacing w:before="100" w:after="100"/>
              <w:jc w:val="center"/>
              <w:rPr>
                <w:sz w:val="16"/>
                <w:szCs w:val="16"/>
              </w:rPr>
            </w:pPr>
            <w:r>
              <w:rPr>
                <w:sz w:val="16"/>
                <w:szCs w:val="16"/>
              </w:rPr>
              <w:fldChar w:fldCharType="begin"/>
            </w:r>
            <w:r>
              <w:rPr>
                <w:sz w:val="16"/>
                <w:szCs w:val="16"/>
              </w:rPr>
              <w:instrText xml:space="preserve"> PAGEREF RISK \h </w:instrText>
            </w:r>
            <w:r>
              <w:rPr>
                <w:sz w:val="16"/>
                <w:szCs w:val="16"/>
              </w:rPr>
            </w:r>
            <w:r>
              <w:rPr>
                <w:sz w:val="16"/>
                <w:szCs w:val="16"/>
              </w:rPr>
              <w:fldChar w:fldCharType="separate"/>
            </w:r>
            <w:r w:rsidR="00791D73">
              <w:rPr>
                <w:noProof/>
                <w:sz w:val="16"/>
                <w:szCs w:val="16"/>
              </w:rPr>
              <w:t>83</w:t>
            </w:r>
            <w:r>
              <w:rPr>
                <w:sz w:val="16"/>
                <w:szCs w:val="16"/>
              </w:rPr>
              <w:fldChar w:fldCharType="end"/>
            </w:r>
          </w:p>
        </w:tc>
      </w:tr>
      <w:tr w:rsidR="00A6311B" w:rsidRPr="00112138" w:rsidTr="00F029A0">
        <w:trPr>
          <w:cantSplit/>
        </w:trPr>
        <w:tc>
          <w:tcPr>
            <w:tcW w:w="1548" w:type="dxa"/>
            <w:vMerge/>
            <w:tcBorders>
              <w:right w:val="single" w:sz="4" w:space="0" w:color="auto"/>
            </w:tcBorders>
          </w:tcPr>
          <w:p w:rsidR="00A6311B" w:rsidRPr="00112138" w:rsidRDefault="00A6311B" w:rsidP="00F029A0">
            <w:pPr>
              <w:pStyle w:val="Text"/>
              <w:spacing w:before="100" w:after="100"/>
              <w:rPr>
                <w:b/>
                <w:bCs/>
                <w:sz w:val="16"/>
                <w:szCs w:val="16"/>
              </w:rPr>
            </w:pPr>
          </w:p>
        </w:tc>
        <w:tc>
          <w:tcPr>
            <w:tcW w:w="4122" w:type="dxa"/>
            <w:tcBorders>
              <w:top w:val="single" w:sz="4" w:space="0" w:color="auto"/>
              <w:left w:val="single" w:sz="4" w:space="0" w:color="auto"/>
              <w:bottom w:val="single" w:sz="4" w:space="0" w:color="auto"/>
              <w:right w:val="single" w:sz="4" w:space="0" w:color="auto"/>
            </w:tcBorders>
          </w:tcPr>
          <w:p w:rsidR="00A6311B" w:rsidRPr="00112138" w:rsidRDefault="00A6311B" w:rsidP="00A6311B">
            <w:pPr>
              <w:pStyle w:val="Text"/>
              <w:numPr>
                <w:ilvl w:val="0"/>
                <w:numId w:val="113"/>
              </w:numPr>
              <w:tabs>
                <w:tab w:val="clear" w:pos="360"/>
                <w:tab w:val="num" w:pos="252"/>
              </w:tabs>
              <w:spacing w:before="100" w:after="100"/>
              <w:ind w:left="252" w:hanging="252"/>
              <w:rPr>
                <w:b/>
                <w:sz w:val="16"/>
                <w:szCs w:val="16"/>
              </w:rPr>
            </w:pPr>
            <w:r w:rsidRPr="00112138">
              <w:rPr>
                <w:b/>
                <w:sz w:val="16"/>
                <w:szCs w:val="16"/>
              </w:rPr>
              <w:t>Audit committee</w:t>
            </w:r>
          </w:p>
        </w:tc>
        <w:tc>
          <w:tcPr>
            <w:tcW w:w="2268" w:type="dxa"/>
            <w:tcBorders>
              <w:top w:val="single" w:sz="4" w:space="0" w:color="auto"/>
              <w:left w:val="single" w:sz="4" w:space="0" w:color="auto"/>
              <w:bottom w:val="single" w:sz="4" w:space="0" w:color="auto"/>
            </w:tcBorders>
            <w:shd w:val="clear" w:color="auto" w:fill="auto"/>
          </w:tcPr>
          <w:p w:rsidR="00A6311B" w:rsidRPr="00562CEA" w:rsidRDefault="00A6311B" w:rsidP="00F029A0">
            <w:pPr>
              <w:pStyle w:val="Text"/>
              <w:spacing w:before="100" w:after="100"/>
              <w:rPr>
                <w:sz w:val="16"/>
                <w:szCs w:val="16"/>
              </w:rPr>
            </w:pPr>
            <w:r>
              <w:rPr>
                <w:sz w:val="16"/>
                <w:szCs w:val="16"/>
              </w:rPr>
              <w:t>ARRs – section 14.2</w:t>
            </w:r>
          </w:p>
        </w:tc>
        <w:tc>
          <w:tcPr>
            <w:tcW w:w="1654" w:type="dxa"/>
            <w:tcBorders>
              <w:top w:val="single" w:sz="4" w:space="0" w:color="auto"/>
              <w:left w:val="single" w:sz="4" w:space="0" w:color="auto"/>
              <w:bottom w:val="single" w:sz="4" w:space="0" w:color="auto"/>
            </w:tcBorders>
            <w:shd w:val="clear" w:color="auto" w:fill="auto"/>
          </w:tcPr>
          <w:p w:rsidR="00A6311B" w:rsidRPr="00112138" w:rsidRDefault="00FA3BAD" w:rsidP="00F029A0">
            <w:pPr>
              <w:pStyle w:val="Text"/>
              <w:spacing w:before="100" w:after="100"/>
              <w:jc w:val="center"/>
              <w:rPr>
                <w:sz w:val="16"/>
                <w:szCs w:val="16"/>
              </w:rPr>
            </w:pPr>
            <w:r>
              <w:rPr>
                <w:sz w:val="16"/>
                <w:szCs w:val="16"/>
              </w:rPr>
              <w:fldChar w:fldCharType="begin"/>
            </w:r>
            <w:r>
              <w:rPr>
                <w:sz w:val="16"/>
                <w:szCs w:val="16"/>
              </w:rPr>
              <w:instrText xml:space="preserve"> PAGEREF AUDIT_COMMITTEE \h </w:instrText>
            </w:r>
            <w:r>
              <w:rPr>
                <w:sz w:val="16"/>
                <w:szCs w:val="16"/>
              </w:rPr>
            </w:r>
            <w:r>
              <w:rPr>
                <w:sz w:val="16"/>
                <w:szCs w:val="16"/>
              </w:rPr>
              <w:fldChar w:fldCharType="separate"/>
            </w:r>
            <w:r w:rsidR="00791D73">
              <w:rPr>
                <w:noProof/>
                <w:sz w:val="16"/>
                <w:szCs w:val="16"/>
              </w:rPr>
              <w:t>77</w:t>
            </w:r>
            <w:r>
              <w:rPr>
                <w:sz w:val="16"/>
                <w:szCs w:val="16"/>
              </w:rPr>
              <w:fldChar w:fldCharType="end"/>
            </w:r>
          </w:p>
        </w:tc>
      </w:tr>
      <w:tr w:rsidR="00A6311B" w:rsidRPr="00112138" w:rsidTr="00F029A0">
        <w:trPr>
          <w:cantSplit/>
          <w:trHeight w:val="422"/>
        </w:trPr>
        <w:tc>
          <w:tcPr>
            <w:tcW w:w="1548" w:type="dxa"/>
            <w:vMerge/>
            <w:tcBorders>
              <w:right w:val="single" w:sz="4" w:space="0" w:color="auto"/>
            </w:tcBorders>
          </w:tcPr>
          <w:p w:rsidR="00A6311B" w:rsidRPr="00112138" w:rsidRDefault="00A6311B" w:rsidP="00F029A0">
            <w:pPr>
              <w:pStyle w:val="Text"/>
              <w:spacing w:before="100" w:after="100"/>
              <w:rPr>
                <w:b/>
                <w:bCs/>
                <w:sz w:val="16"/>
              </w:rPr>
            </w:pPr>
          </w:p>
        </w:tc>
        <w:tc>
          <w:tcPr>
            <w:tcW w:w="4122" w:type="dxa"/>
            <w:tcBorders>
              <w:top w:val="single" w:sz="4" w:space="0" w:color="auto"/>
              <w:left w:val="single" w:sz="4" w:space="0" w:color="auto"/>
              <w:bottom w:val="single" w:sz="4" w:space="0" w:color="auto"/>
              <w:right w:val="single" w:sz="4" w:space="0" w:color="auto"/>
            </w:tcBorders>
          </w:tcPr>
          <w:p w:rsidR="00A6311B" w:rsidRPr="00112138" w:rsidRDefault="00A6311B" w:rsidP="00A6311B">
            <w:pPr>
              <w:pStyle w:val="Text"/>
              <w:numPr>
                <w:ilvl w:val="0"/>
                <w:numId w:val="113"/>
              </w:numPr>
              <w:tabs>
                <w:tab w:val="clear" w:pos="360"/>
                <w:tab w:val="num" w:pos="252"/>
              </w:tabs>
              <w:spacing w:before="100" w:after="100"/>
              <w:ind w:left="252" w:hanging="252"/>
              <w:rPr>
                <w:b/>
                <w:sz w:val="16"/>
                <w:szCs w:val="16"/>
              </w:rPr>
            </w:pPr>
            <w:r w:rsidRPr="00112138">
              <w:rPr>
                <w:b/>
                <w:sz w:val="16"/>
                <w:szCs w:val="16"/>
              </w:rPr>
              <w:t xml:space="preserve">Internal </w:t>
            </w:r>
            <w:r>
              <w:rPr>
                <w:b/>
                <w:sz w:val="16"/>
                <w:szCs w:val="16"/>
              </w:rPr>
              <w:t>a</w:t>
            </w:r>
            <w:r w:rsidRPr="00112138">
              <w:rPr>
                <w:b/>
                <w:sz w:val="16"/>
                <w:szCs w:val="16"/>
              </w:rPr>
              <w:t>udit</w:t>
            </w:r>
          </w:p>
        </w:tc>
        <w:tc>
          <w:tcPr>
            <w:tcW w:w="2268" w:type="dxa"/>
            <w:tcBorders>
              <w:top w:val="single" w:sz="4" w:space="0" w:color="auto"/>
              <w:left w:val="single" w:sz="4" w:space="0" w:color="auto"/>
              <w:bottom w:val="single" w:sz="4" w:space="0" w:color="auto"/>
            </w:tcBorders>
            <w:shd w:val="clear" w:color="auto" w:fill="auto"/>
          </w:tcPr>
          <w:p w:rsidR="00A6311B" w:rsidRPr="00562CEA" w:rsidRDefault="00A6311B" w:rsidP="00F029A0">
            <w:pPr>
              <w:pStyle w:val="Text"/>
              <w:spacing w:before="100" w:after="100"/>
              <w:rPr>
                <w:sz w:val="16"/>
                <w:szCs w:val="16"/>
              </w:rPr>
            </w:pPr>
            <w:r>
              <w:rPr>
                <w:sz w:val="16"/>
                <w:szCs w:val="16"/>
              </w:rPr>
              <w:t>ARRs – section 14.3</w:t>
            </w:r>
          </w:p>
        </w:tc>
        <w:tc>
          <w:tcPr>
            <w:tcW w:w="1654" w:type="dxa"/>
            <w:tcBorders>
              <w:top w:val="single" w:sz="4" w:space="0" w:color="auto"/>
              <w:left w:val="single" w:sz="4" w:space="0" w:color="auto"/>
              <w:bottom w:val="single" w:sz="4" w:space="0" w:color="auto"/>
            </w:tcBorders>
            <w:shd w:val="clear" w:color="auto" w:fill="auto"/>
          </w:tcPr>
          <w:p w:rsidR="00A6311B" w:rsidRPr="00112138" w:rsidRDefault="00FA3BAD" w:rsidP="00F029A0">
            <w:pPr>
              <w:pStyle w:val="Text"/>
              <w:spacing w:before="100" w:after="100"/>
              <w:jc w:val="center"/>
              <w:rPr>
                <w:sz w:val="16"/>
                <w:szCs w:val="16"/>
              </w:rPr>
            </w:pPr>
            <w:r>
              <w:rPr>
                <w:sz w:val="16"/>
                <w:szCs w:val="16"/>
              </w:rPr>
              <w:fldChar w:fldCharType="begin"/>
            </w:r>
            <w:r>
              <w:rPr>
                <w:sz w:val="16"/>
                <w:szCs w:val="16"/>
              </w:rPr>
              <w:instrText xml:space="preserve"> PAGEREF AUDIT \h </w:instrText>
            </w:r>
            <w:r>
              <w:rPr>
                <w:sz w:val="16"/>
                <w:szCs w:val="16"/>
              </w:rPr>
            </w:r>
            <w:r>
              <w:rPr>
                <w:sz w:val="16"/>
                <w:szCs w:val="16"/>
              </w:rPr>
              <w:fldChar w:fldCharType="separate"/>
            </w:r>
            <w:r w:rsidR="00791D73">
              <w:rPr>
                <w:noProof/>
                <w:sz w:val="16"/>
                <w:szCs w:val="16"/>
              </w:rPr>
              <w:t>84</w:t>
            </w:r>
            <w:r>
              <w:rPr>
                <w:sz w:val="16"/>
                <w:szCs w:val="16"/>
              </w:rPr>
              <w:fldChar w:fldCharType="end"/>
            </w:r>
          </w:p>
        </w:tc>
      </w:tr>
      <w:tr w:rsidR="00A6311B" w:rsidRPr="00112138" w:rsidTr="00F029A0">
        <w:trPr>
          <w:cantSplit/>
          <w:trHeight w:val="422"/>
        </w:trPr>
        <w:tc>
          <w:tcPr>
            <w:tcW w:w="1548" w:type="dxa"/>
            <w:vMerge/>
            <w:tcBorders>
              <w:right w:val="single" w:sz="4" w:space="0" w:color="auto"/>
            </w:tcBorders>
          </w:tcPr>
          <w:p w:rsidR="00A6311B" w:rsidRPr="00112138" w:rsidRDefault="00A6311B" w:rsidP="00F029A0">
            <w:pPr>
              <w:pStyle w:val="Text"/>
              <w:spacing w:before="100" w:after="100"/>
              <w:rPr>
                <w:b/>
                <w:bCs/>
                <w:sz w:val="16"/>
              </w:rPr>
            </w:pPr>
          </w:p>
        </w:tc>
        <w:tc>
          <w:tcPr>
            <w:tcW w:w="4122" w:type="dxa"/>
            <w:tcBorders>
              <w:top w:val="single" w:sz="4" w:space="0" w:color="auto"/>
              <w:left w:val="single" w:sz="4" w:space="0" w:color="auto"/>
              <w:bottom w:val="single" w:sz="4" w:space="0" w:color="auto"/>
              <w:right w:val="single" w:sz="4" w:space="0" w:color="auto"/>
            </w:tcBorders>
          </w:tcPr>
          <w:p w:rsidR="00A6311B" w:rsidRPr="00977D5F" w:rsidRDefault="00A6311B" w:rsidP="00A6311B">
            <w:pPr>
              <w:pStyle w:val="Text"/>
              <w:numPr>
                <w:ilvl w:val="0"/>
                <w:numId w:val="113"/>
              </w:numPr>
              <w:tabs>
                <w:tab w:val="clear" w:pos="360"/>
                <w:tab w:val="num" w:pos="252"/>
              </w:tabs>
              <w:spacing w:before="100" w:after="100"/>
              <w:ind w:left="252" w:hanging="252"/>
              <w:rPr>
                <w:b/>
                <w:sz w:val="16"/>
                <w:szCs w:val="16"/>
              </w:rPr>
            </w:pPr>
            <w:r w:rsidRPr="00977D5F">
              <w:rPr>
                <w:b/>
                <w:sz w:val="16"/>
                <w:szCs w:val="16"/>
              </w:rPr>
              <w:t>External scrutiny</w:t>
            </w:r>
          </w:p>
        </w:tc>
        <w:tc>
          <w:tcPr>
            <w:tcW w:w="2268" w:type="dxa"/>
            <w:tcBorders>
              <w:top w:val="single" w:sz="4" w:space="0" w:color="auto"/>
              <w:left w:val="single" w:sz="4" w:space="0" w:color="auto"/>
              <w:bottom w:val="single" w:sz="4" w:space="0" w:color="auto"/>
            </w:tcBorders>
            <w:shd w:val="clear" w:color="auto" w:fill="auto"/>
          </w:tcPr>
          <w:p w:rsidR="00A6311B" w:rsidRPr="00977D5F" w:rsidRDefault="00A6311B" w:rsidP="00F029A0">
            <w:pPr>
              <w:pStyle w:val="Text"/>
              <w:spacing w:before="100" w:after="100"/>
              <w:rPr>
                <w:sz w:val="16"/>
                <w:szCs w:val="16"/>
              </w:rPr>
            </w:pPr>
            <w:r>
              <w:rPr>
                <w:sz w:val="16"/>
                <w:szCs w:val="16"/>
              </w:rPr>
              <w:t>ARRs – section 14</w:t>
            </w:r>
            <w:r w:rsidRPr="00977D5F">
              <w:rPr>
                <w:sz w:val="16"/>
                <w:szCs w:val="16"/>
              </w:rPr>
              <w:t>.4</w:t>
            </w:r>
          </w:p>
        </w:tc>
        <w:tc>
          <w:tcPr>
            <w:tcW w:w="1654" w:type="dxa"/>
            <w:tcBorders>
              <w:top w:val="single" w:sz="4" w:space="0" w:color="auto"/>
              <w:left w:val="single" w:sz="4" w:space="0" w:color="auto"/>
              <w:bottom w:val="single" w:sz="4" w:space="0" w:color="auto"/>
            </w:tcBorders>
            <w:shd w:val="clear" w:color="auto" w:fill="auto"/>
          </w:tcPr>
          <w:p w:rsidR="00A6311B" w:rsidRPr="00112138" w:rsidRDefault="004B1A68" w:rsidP="00F029A0">
            <w:pPr>
              <w:pStyle w:val="Text"/>
              <w:spacing w:before="100" w:after="100"/>
              <w:jc w:val="center"/>
              <w:rPr>
                <w:sz w:val="16"/>
                <w:szCs w:val="16"/>
              </w:rPr>
            </w:pPr>
            <w:r>
              <w:rPr>
                <w:sz w:val="16"/>
                <w:szCs w:val="16"/>
              </w:rPr>
              <w:fldChar w:fldCharType="begin"/>
            </w:r>
            <w:r>
              <w:rPr>
                <w:sz w:val="16"/>
                <w:szCs w:val="16"/>
              </w:rPr>
              <w:instrText xml:space="preserve"> PAGEREF EXTERNAL_REVIEWS_START \h </w:instrText>
            </w:r>
            <w:r>
              <w:rPr>
                <w:sz w:val="16"/>
                <w:szCs w:val="16"/>
              </w:rPr>
            </w:r>
            <w:r>
              <w:rPr>
                <w:sz w:val="16"/>
                <w:szCs w:val="16"/>
              </w:rPr>
              <w:fldChar w:fldCharType="separate"/>
            </w:r>
            <w:r w:rsidR="00791D73">
              <w:rPr>
                <w:noProof/>
                <w:sz w:val="16"/>
                <w:szCs w:val="16"/>
              </w:rPr>
              <w:t>85</w:t>
            </w:r>
            <w:r>
              <w:rPr>
                <w:sz w:val="16"/>
                <w:szCs w:val="16"/>
              </w:rPr>
              <w:fldChar w:fldCharType="end"/>
            </w:r>
            <w:r>
              <w:rPr>
                <w:sz w:val="16"/>
                <w:szCs w:val="16"/>
              </w:rPr>
              <w:t>-</w:t>
            </w:r>
            <w:r>
              <w:rPr>
                <w:sz w:val="16"/>
                <w:szCs w:val="16"/>
              </w:rPr>
              <w:fldChar w:fldCharType="begin"/>
            </w:r>
            <w:r>
              <w:rPr>
                <w:sz w:val="16"/>
                <w:szCs w:val="16"/>
              </w:rPr>
              <w:instrText xml:space="preserve"> PAGEREF EXTERNAL_REVIEWS_END \h </w:instrText>
            </w:r>
            <w:r>
              <w:rPr>
                <w:sz w:val="16"/>
                <w:szCs w:val="16"/>
              </w:rPr>
            </w:r>
            <w:r>
              <w:rPr>
                <w:sz w:val="16"/>
                <w:szCs w:val="16"/>
              </w:rPr>
              <w:fldChar w:fldCharType="separate"/>
            </w:r>
            <w:r w:rsidR="00791D73">
              <w:rPr>
                <w:noProof/>
                <w:sz w:val="16"/>
                <w:szCs w:val="16"/>
              </w:rPr>
              <w:t>86</w:t>
            </w:r>
            <w:r>
              <w:rPr>
                <w:sz w:val="16"/>
                <w:szCs w:val="16"/>
              </w:rPr>
              <w:fldChar w:fldCharType="end"/>
            </w:r>
          </w:p>
        </w:tc>
      </w:tr>
      <w:tr w:rsidR="00A6311B" w:rsidRPr="00112138" w:rsidTr="00F029A0">
        <w:trPr>
          <w:cantSplit/>
          <w:trHeight w:val="422"/>
        </w:trPr>
        <w:tc>
          <w:tcPr>
            <w:tcW w:w="1548" w:type="dxa"/>
            <w:vMerge/>
            <w:tcBorders>
              <w:bottom w:val="single" w:sz="4" w:space="0" w:color="auto"/>
              <w:right w:val="single" w:sz="4" w:space="0" w:color="auto"/>
            </w:tcBorders>
          </w:tcPr>
          <w:p w:rsidR="00A6311B" w:rsidRPr="00112138" w:rsidRDefault="00A6311B" w:rsidP="00F029A0">
            <w:pPr>
              <w:pStyle w:val="Text"/>
              <w:spacing w:before="100" w:after="100"/>
              <w:rPr>
                <w:b/>
                <w:bCs/>
                <w:sz w:val="16"/>
              </w:rPr>
            </w:pPr>
          </w:p>
        </w:tc>
        <w:tc>
          <w:tcPr>
            <w:tcW w:w="4122" w:type="dxa"/>
            <w:tcBorders>
              <w:top w:val="single" w:sz="4" w:space="0" w:color="auto"/>
              <w:left w:val="single" w:sz="4" w:space="0" w:color="auto"/>
              <w:bottom w:val="single" w:sz="4" w:space="0" w:color="auto"/>
              <w:right w:val="single" w:sz="4" w:space="0" w:color="auto"/>
            </w:tcBorders>
          </w:tcPr>
          <w:p w:rsidR="00A6311B" w:rsidRPr="00E522CB" w:rsidRDefault="00A6311B" w:rsidP="00A6311B">
            <w:pPr>
              <w:pStyle w:val="Text"/>
              <w:numPr>
                <w:ilvl w:val="0"/>
                <w:numId w:val="113"/>
              </w:numPr>
              <w:tabs>
                <w:tab w:val="clear" w:pos="360"/>
                <w:tab w:val="num" w:pos="252"/>
              </w:tabs>
              <w:spacing w:before="100" w:after="100"/>
              <w:ind w:left="252" w:hanging="252"/>
              <w:rPr>
                <w:b/>
                <w:sz w:val="16"/>
                <w:szCs w:val="16"/>
              </w:rPr>
            </w:pPr>
            <w:r w:rsidRPr="00E522CB">
              <w:rPr>
                <w:b/>
                <w:sz w:val="16"/>
                <w:szCs w:val="16"/>
              </w:rPr>
              <w:t>Information systems and recordkeeping</w:t>
            </w:r>
          </w:p>
        </w:tc>
        <w:tc>
          <w:tcPr>
            <w:tcW w:w="2268" w:type="dxa"/>
            <w:tcBorders>
              <w:top w:val="single" w:sz="4" w:space="0" w:color="auto"/>
              <w:left w:val="single" w:sz="4" w:space="0" w:color="auto"/>
              <w:bottom w:val="single" w:sz="4" w:space="0" w:color="auto"/>
            </w:tcBorders>
            <w:shd w:val="clear" w:color="auto" w:fill="auto"/>
          </w:tcPr>
          <w:p w:rsidR="00A6311B" w:rsidRPr="00E522CB" w:rsidRDefault="00A6311B" w:rsidP="00F029A0">
            <w:pPr>
              <w:pStyle w:val="Text"/>
              <w:spacing w:before="100" w:after="100"/>
              <w:rPr>
                <w:sz w:val="16"/>
                <w:szCs w:val="16"/>
              </w:rPr>
            </w:pPr>
            <w:r>
              <w:rPr>
                <w:sz w:val="16"/>
                <w:szCs w:val="16"/>
              </w:rPr>
              <w:t>ARRs – section 14</w:t>
            </w:r>
            <w:r w:rsidRPr="00E522CB">
              <w:rPr>
                <w:sz w:val="16"/>
                <w:szCs w:val="16"/>
              </w:rPr>
              <w:t>.5</w:t>
            </w:r>
          </w:p>
        </w:tc>
        <w:tc>
          <w:tcPr>
            <w:tcW w:w="1654" w:type="dxa"/>
            <w:tcBorders>
              <w:top w:val="single" w:sz="4" w:space="0" w:color="auto"/>
              <w:left w:val="single" w:sz="4" w:space="0" w:color="auto"/>
              <w:bottom w:val="single" w:sz="4" w:space="0" w:color="auto"/>
            </w:tcBorders>
            <w:shd w:val="clear" w:color="auto" w:fill="auto"/>
          </w:tcPr>
          <w:p w:rsidR="00A6311B" w:rsidRPr="00112138" w:rsidRDefault="004B1A68" w:rsidP="00F029A0">
            <w:pPr>
              <w:pStyle w:val="Text"/>
              <w:spacing w:before="100" w:after="100"/>
              <w:jc w:val="center"/>
              <w:rPr>
                <w:sz w:val="16"/>
                <w:szCs w:val="16"/>
              </w:rPr>
            </w:pPr>
            <w:r>
              <w:rPr>
                <w:sz w:val="16"/>
                <w:szCs w:val="16"/>
              </w:rPr>
              <w:fldChar w:fldCharType="begin"/>
            </w:r>
            <w:r>
              <w:rPr>
                <w:sz w:val="16"/>
                <w:szCs w:val="16"/>
              </w:rPr>
              <w:instrText xml:space="preserve"> PAGEREF RECORD_KEEPING \h </w:instrText>
            </w:r>
            <w:r>
              <w:rPr>
                <w:sz w:val="16"/>
                <w:szCs w:val="16"/>
              </w:rPr>
            </w:r>
            <w:r>
              <w:rPr>
                <w:sz w:val="16"/>
                <w:szCs w:val="16"/>
              </w:rPr>
              <w:fldChar w:fldCharType="separate"/>
            </w:r>
            <w:r w:rsidR="00791D73">
              <w:rPr>
                <w:noProof/>
                <w:sz w:val="16"/>
                <w:szCs w:val="16"/>
              </w:rPr>
              <w:t>84</w:t>
            </w:r>
            <w:r>
              <w:rPr>
                <w:sz w:val="16"/>
                <w:szCs w:val="16"/>
              </w:rPr>
              <w:fldChar w:fldCharType="end"/>
            </w:r>
          </w:p>
        </w:tc>
      </w:tr>
      <w:tr w:rsidR="00A6311B" w:rsidRPr="00112138" w:rsidTr="00F029A0">
        <w:trPr>
          <w:cantSplit/>
        </w:trPr>
        <w:tc>
          <w:tcPr>
            <w:tcW w:w="1548" w:type="dxa"/>
            <w:vMerge w:val="restart"/>
            <w:tcBorders>
              <w:top w:val="single" w:sz="4" w:space="0" w:color="auto"/>
              <w:right w:val="single" w:sz="4" w:space="0" w:color="auto"/>
            </w:tcBorders>
          </w:tcPr>
          <w:p w:rsidR="00A6311B" w:rsidRPr="00112138" w:rsidRDefault="00A6311B" w:rsidP="00F029A0">
            <w:pPr>
              <w:pStyle w:val="Text"/>
              <w:spacing w:before="100" w:after="100"/>
              <w:rPr>
                <w:b/>
                <w:bCs/>
                <w:sz w:val="16"/>
                <w:szCs w:val="16"/>
              </w:rPr>
            </w:pPr>
            <w:r w:rsidRPr="00112138">
              <w:rPr>
                <w:b/>
                <w:bCs/>
                <w:sz w:val="16"/>
                <w:szCs w:val="16"/>
              </w:rPr>
              <w:t>Governance – human resources</w:t>
            </w:r>
          </w:p>
        </w:tc>
        <w:tc>
          <w:tcPr>
            <w:tcW w:w="4122" w:type="dxa"/>
            <w:tcBorders>
              <w:top w:val="single" w:sz="4" w:space="0" w:color="auto"/>
              <w:left w:val="single" w:sz="4" w:space="0" w:color="auto"/>
              <w:bottom w:val="single" w:sz="4" w:space="0" w:color="auto"/>
              <w:right w:val="single" w:sz="4" w:space="0" w:color="auto"/>
            </w:tcBorders>
          </w:tcPr>
          <w:p w:rsidR="00A6311B" w:rsidRPr="00E522CB" w:rsidRDefault="00A6311B" w:rsidP="00A6311B">
            <w:pPr>
              <w:pStyle w:val="Text"/>
              <w:numPr>
                <w:ilvl w:val="0"/>
                <w:numId w:val="113"/>
              </w:numPr>
              <w:tabs>
                <w:tab w:val="clear" w:pos="360"/>
                <w:tab w:val="num" w:pos="252"/>
              </w:tabs>
              <w:spacing w:before="100" w:after="100"/>
              <w:ind w:left="252" w:hanging="252"/>
              <w:rPr>
                <w:b/>
                <w:sz w:val="16"/>
                <w:szCs w:val="16"/>
              </w:rPr>
            </w:pPr>
            <w:r>
              <w:rPr>
                <w:b/>
                <w:sz w:val="16"/>
                <w:szCs w:val="16"/>
              </w:rPr>
              <w:t>Strategic w</w:t>
            </w:r>
            <w:r w:rsidRPr="00E522CB">
              <w:rPr>
                <w:b/>
                <w:sz w:val="16"/>
                <w:szCs w:val="16"/>
              </w:rPr>
              <w:t>orkforce planning and performance</w:t>
            </w:r>
          </w:p>
        </w:tc>
        <w:tc>
          <w:tcPr>
            <w:tcW w:w="2268" w:type="dxa"/>
            <w:tcBorders>
              <w:top w:val="single" w:sz="4" w:space="0" w:color="auto"/>
              <w:left w:val="single" w:sz="4" w:space="0" w:color="auto"/>
              <w:bottom w:val="single" w:sz="4" w:space="0" w:color="auto"/>
            </w:tcBorders>
            <w:shd w:val="clear" w:color="auto" w:fill="auto"/>
          </w:tcPr>
          <w:p w:rsidR="00A6311B" w:rsidRPr="00E522CB" w:rsidRDefault="00A6311B" w:rsidP="00F029A0">
            <w:pPr>
              <w:pStyle w:val="Text"/>
              <w:spacing w:before="100" w:after="100"/>
              <w:rPr>
                <w:sz w:val="16"/>
                <w:szCs w:val="16"/>
              </w:rPr>
            </w:pPr>
            <w:r>
              <w:rPr>
                <w:sz w:val="16"/>
                <w:szCs w:val="16"/>
              </w:rPr>
              <w:t>ARRs – section 15</w:t>
            </w:r>
            <w:r w:rsidRPr="00E522CB">
              <w:rPr>
                <w:sz w:val="16"/>
                <w:szCs w:val="16"/>
              </w:rPr>
              <w:t>.1</w:t>
            </w:r>
          </w:p>
        </w:tc>
        <w:tc>
          <w:tcPr>
            <w:tcW w:w="1654" w:type="dxa"/>
            <w:tcBorders>
              <w:top w:val="single" w:sz="4" w:space="0" w:color="auto"/>
              <w:left w:val="single" w:sz="4" w:space="0" w:color="auto"/>
              <w:bottom w:val="single" w:sz="4" w:space="0" w:color="auto"/>
            </w:tcBorders>
            <w:shd w:val="clear" w:color="auto" w:fill="auto"/>
          </w:tcPr>
          <w:p w:rsidR="00A6311B" w:rsidRPr="00112138" w:rsidRDefault="00B00909" w:rsidP="00F029A0">
            <w:pPr>
              <w:pStyle w:val="Text"/>
              <w:spacing w:before="100" w:after="100"/>
              <w:jc w:val="center"/>
              <w:rPr>
                <w:sz w:val="16"/>
                <w:szCs w:val="16"/>
              </w:rPr>
            </w:pPr>
            <w:r>
              <w:rPr>
                <w:sz w:val="16"/>
                <w:szCs w:val="16"/>
              </w:rPr>
              <w:fldChar w:fldCharType="begin"/>
            </w:r>
            <w:r>
              <w:rPr>
                <w:sz w:val="16"/>
                <w:szCs w:val="16"/>
              </w:rPr>
              <w:instrText xml:space="preserve"> PAGEREF WORKFORCE_PLANNING_START \h </w:instrText>
            </w:r>
            <w:r>
              <w:rPr>
                <w:sz w:val="16"/>
                <w:szCs w:val="16"/>
              </w:rPr>
            </w:r>
            <w:r>
              <w:rPr>
                <w:sz w:val="16"/>
                <w:szCs w:val="16"/>
              </w:rPr>
              <w:fldChar w:fldCharType="separate"/>
            </w:r>
            <w:r w:rsidR="00791D73">
              <w:rPr>
                <w:noProof/>
                <w:sz w:val="16"/>
                <w:szCs w:val="16"/>
              </w:rPr>
              <w:t>65</w:t>
            </w:r>
            <w:r>
              <w:rPr>
                <w:sz w:val="16"/>
                <w:szCs w:val="16"/>
              </w:rPr>
              <w:fldChar w:fldCharType="end"/>
            </w:r>
            <w:r>
              <w:rPr>
                <w:sz w:val="16"/>
                <w:szCs w:val="16"/>
              </w:rPr>
              <w:t>-</w:t>
            </w:r>
            <w:r>
              <w:rPr>
                <w:sz w:val="16"/>
                <w:szCs w:val="16"/>
              </w:rPr>
              <w:fldChar w:fldCharType="begin"/>
            </w:r>
            <w:r>
              <w:rPr>
                <w:sz w:val="16"/>
                <w:szCs w:val="16"/>
              </w:rPr>
              <w:instrText xml:space="preserve"> PAGEREF WORKFORCE_PLANNING_END \h </w:instrText>
            </w:r>
            <w:r>
              <w:rPr>
                <w:sz w:val="16"/>
                <w:szCs w:val="16"/>
              </w:rPr>
            </w:r>
            <w:r>
              <w:rPr>
                <w:sz w:val="16"/>
                <w:szCs w:val="16"/>
              </w:rPr>
              <w:fldChar w:fldCharType="separate"/>
            </w:r>
            <w:r w:rsidR="00791D73">
              <w:rPr>
                <w:noProof/>
                <w:sz w:val="16"/>
                <w:szCs w:val="16"/>
              </w:rPr>
              <w:t>69</w:t>
            </w:r>
            <w:r>
              <w:rPr>
                <w:sz w:val="16"/>
                <w:szCs w:val="16"/>
              </w:rPr>
              <w:fldChar w:fldCharType="end"/>
            </w:r>
          </w:p>
        </w:tc>
      </w:tr>
      <w:tr w:rsidR="00A6311B" w:rsidRPr="00112138" w:rsidTr="00F029A0">
        <w:trPr>
          <w:cantSplit/>
        </w:trPr>
        <w:tc>
          <w:tcPr>
            <w:tcW w:w="1548" w:type="dxa"/>
            <w:vMerge/>
            <w:tcBorders>
              <w:right w:val="single" w:sz="4" w:space="0" w:color="auto"/>
            </w:tcBorders>
          </w:tcPr>
          <w:p w:rsidR="00A6311B" w:rsidRPr="00112138" w:rsidRDefault="00A6311B" w:rsidP="00F029A0">
            <w:pPr>
              <w:pStyle w:val="Text"/>
              <w:spacing w:before="100" w:after="100"/>
              <w:rPr>
                <w:b/>
                <w:bCs/>
                <w:sz w:val="16"/>
                <w:szCs w:val="16"/>
              </w:rPr>
            </w:pPr>
          </w:p>
        </w:tc>
        <w:tc>
          <w:tcPr>
            <w:tcW w:w="4122" w:type="dxa"/>
            <w:tcBorders>
              <w:top w:val="single" w:sz="4" w:space="0" w:color="auto"/>
              <w:left w:val="single" w:sz="4" w:space="0" w:color="auto"/>
              <w:bottom w:val="single" w:sz="4" w:space="0" w:color="auto"/>
              <w:right w:val="single" w:sz="4" w:space="0" w:color="auto"/>
            </w:tcBorders>
          </w:tcPr>
          <w:p w:rsidR="00A6311B" w:rsidRPr="00E522CB" w:rsidRDefault="00A6311B" w:rsidP="00A6311B">
            <w:pPr>
              <w:pStyle w:val="Text"/>
              <w:numPr>
                <w:ilvl w:val="0"/>
                <w:numId w:val="113"/>
              </w:numPr>
              <w:tabs>
                <w:tab w:val="clear" w:pos="360"/>
                <w:tab w:val="num" w:pos="252"/>
              </w:tabs>
              <w:spacing w:before="100" w:after="100"/>
              <w:ind w:left="252" w:hanging="252"/>
              <w:rPr>
                <w:b/>
                <w:sz w:val="16"/>
                <w:szCs w:val="16"/>
              </w:rPr>
            </w:pPr>
            <w:r w:rsidRPr="00E522CB">
              <w:rPr>
                <w:b/>
                <w:sz w:val="16"/>
                <w:szCs w:val="16"/>
              </w:rPr>
              <w:t>Early retirement, redundancy and retrenchment</w:t>
            </w:r>
          </w:p>
        </w:tc>
        <w:tc>
          <w:tcPr>
            <w:tcW w:w="2268" w:type="dxa"/>
            <w:tcBorders>
              <w:top w:val="single" w:sz="4" w:space="0" w:color="auto"/>
              <w:left w:val="single" w:sz="4" w:space="0" w:color="auto"/>
              <w:bottom w:val="single" w:sz="4" w:space="0" w:color="auto"/>
            </w:tcBorders>
            <w:shd w:val="clear" w:color="auto" w:fill="auto"/>
          </w:tcPr>
          <w:p w:rsidR="00A6311B" w:rsidRDefault="00A6311B" w:rsidP="00F029A0">
            <w:pPr>
              <w:pStyle w:val="Text"/>
              <w:spacing w:before="100" w:after="100"/>
              <w:rPr>
                <w:i/>
                <w:sz w:val="16"/>
                <w:szCs w:val="16"/>
              </w:rPr>
            </w:pPr>
            <w:r w:rsidRPr="00E522CB">
              <w:rPr>
                <w:sz w:val="16"/>
                <w:szCs w:val="16"/>
              </w:rPr>
              <w:t xml:space="preserve">Directive No.11/12 </w:t>
            </w:r>
            <w:r w:rsidRPr="00E522CB">
              <w:rPr>
                <w:i/>
                <w:sz w:val="16"/>
                <w:szCs w:val="16"/>
              </w:rPr>
              <w:t>Early Retirement, Redundancy and Retrenchment</w:t>
            </w:r>
          </w:p>
          <w:p w:rsidR="00A6311B" w:rsidRPr="00534035" w:rsidRDefault="00A6311B" w:rsidP="00F029A0">
            <w:pPr>
              <w:pStyle w:val="Text"/>
              <w:spacing w:before="100" w:after="100"/>
              <w:rPr>
                <w:sz w:val="16"/>
                <w:szCs w:val="16"/>
              </w:rPr>
            </w:pPr>
            <w:r w:rsidRPr="00710057">
              <w:rPr>
                <w:sz w:val="16"/>
                <w:szCs w:val="16"/>
              </w:rPr>
              <w:t xml:space="preserve">Directive No.16/16 </w:t>
            </w:r>
            <w:r w:rsidRPr="00710057">
              <w:rPr>
                <w:i/>
                <w:sz w:val="16"/>
                <w:szCs w:val="16"/>
              </w:rPr>
              <w:t xml:space="preserve">Early Retirement, Redundancy and Retrenchment </w:t>
            </w:r>
            <w:r w:rsidRPr="00710057">
              <w:rPr>
                <w:sz w:val="16"/>
                <w:szCs w:val="16"/>
              </w:rPr>
              <w:t>(from 20 May 2016)</w:t>
            </w:r>
          </w:p>
          <w:p w:rsidR="00A6311B" w:rsidRPr="00E522CB" w:rsidRDefault="00A6311B" w:rsidP="00F029A0">
            <w:pPr>
              <w:pStyle w:val="Text"/>
              <w:spacing w:before="100" w:after="100"/>
              <w:rPr>
                <w:sz w:val="16"/>
                <w:szCs w:val="16"/>
              </w:rPr>
            </w:pPr>
            <w:r>
              <w:rPr>
                <w:sz w:val="16"/>
                <w:szCs w:val="16"/>
              </w:rPr>
              <w:t>ARRs – section 15</w:t>
            </w:r>
            <w:r w:rsidRPr="00E522CB">
              <w:rPr>
                <w:sz w:val="16"/>
                <w:szCs w:val="16"/>
              </w:rPr>
              <w:t>.2</w:t>
            </w:r>
            <w:r w:rsidR="00B00909">
              <w:rPr>
                <w:sz w:val="16"/>
                <w:szCs w:val="16"/>
              </w:rPr>
              <w:t>,</w:t>
            </w:r>
          </w:p>
        </w:tc>
        <w:tc>
          <w:tcPr>
            <w:tcW w:w="1654" w:type="dxa"/>
            <w:tcBorders>
              <w:top w:val="single" w:sz="4" w:space="0" w:color="auto"/>
              <w:left w:val="single" w:sz="4" w:space="0" w:color="auto"/>
              <w:bottom w:val="single" w:sz="4" w:space="0" w:color="auto"/>
            </w:tcBorders>
            <w:shd w:val="clear" w:color="auto" w:fill="auto"/>
          </w:tcPr>
          <w:p w:rsidR="00A6311B" w:rsidRDefault="00B00909" w:rsidP="00F029A0">
            <w:pPr>
              <w:pStyle w:val="Text"/>
              <w:spacing w:before="100" w:after="100"/>
              <w:jc w:val="center"/>
              <w:rPr>
                <w:sz w:val="16"/>
                <w:szCs w:val="16"/>
              </w:rPr>
            </w:pPr>
            <w:r>
              <w:rPr>
                <w:sz w:val="16"/>
                <w:szCs w:val="16"/>
              </w:rPr>
              <w:fldChar w:fldCharType="begin"/>
            </w:r>
            <w:r>
              <w:rPr>
                <w:sz w:val="16"/>
                <w:szCs w:val="16"/>
              </w:rPr>
              <w:instrText xml:space="preserve"> PAGEREF SEPARATION \h </w:instrText>
            </w:r>
            <w:r>
              <w:rPr>
                <w:sz w:val="16"/>
                <w:szCs w:val="16"/>
              </w:rPr>
            </w:r>
            <w:r>
              <w:rPr>
                <w:sz w:val="16"/>
                <w:szCs w:val="16"/>
              </w:rPr>
              <w:fldChar w:fldCharType="separate"/>
            </w:r>
            <w:r w:rsidR="00791D73">
              <w:rPr>
                <w:noProof/>
                <w:sz w:val="16"/>
                <w:szCs w:val="16"/>
              </w:rPr>
              <w:t>63</w:t>
            </w:r>
            <w:r>
              <w:rPr>
                <w:sz w:val="16"/>
                <w:szCs w:val="16"/>
              </w:rPr>
              <w:fldChar w:fldCharType="end"/>
            </w:r>
          </w:p>
          <w:p w:rsidR="00B00909" w:rsidRPr="00112138" w:rsidRDefault="00B00909" w:rsidP="00F029A0">
            <w:pPr>
              <w:pStyle w:val="Text"/>
              <w:spacing w:before="100" w:after="100"/>
              <w:jc w:val="center"/>
              <w:rPr>
                <w:sz w:val="16"/>
                <w:szCs w:val="16"/>
              </w:rPr>
            </w:pPr>
            <w:r>
              <w:rPr>
                <w:sz w:val="16"/>
                <w:szCs w:val="16"/>
              </w:rPr>
              <w:fldChar w:fldCharType="begin"/>
            </w:r>
            <w:r>
              <w:rPr>
                <w:sz w:val="16"/>
                <w:szCs w:val="16"/>
              </w:rPr>
              <w:instrText xml:space="preserve"> PAGEREF WORKFORCE_PROFILE \h </w:instrText>
            </w:r>
            <w:r>
              <w:rPr>
                <w:sz w:val="16"/>
                <w:szCs w:val="16"/>
              </w:rPr>
            </w:r>
            <w:r>
              <w:rPr>
                <w:sz w:val="16"/>
                <w:szCs w:val="16"/>
              </w:rPr>
              <w:fldChar w:fldCharType="separate"/>
            </w:r>
            <w:r w:rsidR="00791D73">
              <w:rPr>
                <w:noProof/>
                <w:sz w:val="16"/>
                <w:szCs w:val="16"/>
              </w:rPr>
              <w:t>63</w:t>
            </w:r>
            <w:r>
              <w:rPr>
                <w:sz w:val="16"/>
                <w:szCs w:val="16"/>
              </w:rPr>
              <w:fldChar w:fldCharType="end"/>
            </w:r>
          </w:p>
        </w:tc>
      </w:tr>
      <w:tr w:rsidR="00A6311B" w:rsidRPr="00112138" w:rsidTr="00F029A0">
        <w:trPr>
          <w:cantSplit/>
        </w:trPr>
        <w:tc>
          <w:tcPr>
            <w:tcW w:w="1548" w:type="dxa"/>
            <w:vMerge w:val="restart"/>
            <w:tcBorders>
              <w:top w:val="single" w:sz="4" w:space="0" w:color="auto"/>
              <w:right w:val="single" w:sz="4" w:space="0" w:color="auto"/>
            </w:tcBorders>
          </w:tcPr>
          <w:p w:rsidR="00A6311B" w:rsidRPr="00AD39B8" w:rsidRDefault="00A6311B" w:rsidP="00F029A0">
            <w:pPr>
              <w:pStyle w:val="Text"/>
              <w:spacing w:before="100" w:after="100"/>
              <w:rPr>
                <w:b/>
                <w:bCs/>
                <w:sz w:val="16"/>
              </w:rPr>
            </w:pPr>
            <w:r w:rsidRPr="00AD39B8">
              <w:rPr>
                <w:b/>
                <w:bCs/>
                <w:sz w:val="16"/>
              </w:rPr>
              <w:t>Open Data</w:t>
            </w:r>
          </w:p>
        </w:tc>
        <w:tc>
          <w:tcPr>
            <w:tcW w:w="4122" w:type="dxa"/>
            <w:tcBorders>
              <w:top w:val="single" w:sz="4" w:space="0" w:color="auto"/>
              <w:left w:val="single" w:sz="4" w:space="0" w:color="auto"/>
              <w:bottom w:val="single" w:sz="4" w:space="0" w:color="auto"/>
              <w:right w:val="single" w:sz="4" w:space="0" w:color="auto"/>
            </w:tcBorders>
          </w:tcPr>
          <w:p w:rsidR="00A6311B" w:rsidRPr="00E522CB" w:rsidRDefault="00A6311B" w:rsidP="00A6311B">
            <w:pPr>
              <w:pStyle w:val="Text"/>
              <w:numPr>
                <w:ilvl w:val="0"/>
                <w:numId w:val="113"/>
              </w:numPr>
              <w:tabs>
                <w:tab w:val="clear" w:pos="360"/>
                <w:tab w:val="num" w:pos="252"/>
              </w:tabs>
              <w:spacing w:before="100" w:after="100"/>
              <w:ind w:left="252" w:hanging="252"/>
              <w:rPr>
                <w:b/>
                <w:sz w:val="16"/>
                <w:szCs w:val="16"/>
              </w:rPr>
            </w:pPr>
            <w:r>
              <w:rPr>
                <w:b/>
                <w:sz w:val="16"/>
                <w:szCs w:val="16"/>
              </w:rPr>
              <w:t>Statement advising publication of information</w:t>
            </w:r>
          </w:p>
        </w:tc>
        <w:tc>
          <w:tcPr>
            <w:tcW w:w="2268" w:type="dxa"/>
            <w:tcBorders>
              <w:top w:val="single" w:sz="4" w:space="0" w:color="auto"/>
              <w:left w:val="single" w:sz="4" w:space="0" w:color="auto"/>
              <w:bottom w:val="single" w:sz="4" w:space="0" w:color="auto"/>
            </w:tcBorders>
            <w:shd w:val="clear" w:color="auto" w:fill="auto"/>
          </w:tcPr>
          <w:p w:rsidR="00A6311B" w:rsidRPr="00E522CB" w:rsidRDefault="00A6311B" w:rsidP="00F029A0">
            <w:pPr>
              <w:pStyle w:val="Text"/>
              <w:spacing w:before="100" w:after="100"/>
              <w:rPr>
                <w:sz w:val="16"/>
                <w:szCs w:val="16"/>
              </w:rPr>
            </w:pPr>
            <w:r>
              <w:rPr>
                <w:sz w:val="16"/>
                <w:szCs w:val="16"/>
              </w:rPr>
              <w:t xml:space="preserve">ARRs </w:t>
            </w:r>
            <w:r w:rsidRPr="00E522CB">
              <w:rPr>
                <w:sz w:val="16"/>
                <w:szCs w:val="16"/>
              </w:rPr>
              <w:t xml:space="preserve">– </w:t>
            </w:r>
            <w:r>
              <w:rPr>
                <w:sz w:val="16"/>
                <w:szCs w:val="16"/>
              </w:rPr>
              <w:t>section 16</w:t>
            </w:r>
          </w:p>
        </w:tc>
        <w:tc>
          <w:tcPr>
            <w:tcW w:w="1654" w:type="dxa"/>
            <w:tcBorders>
              <w:top w:val="single" w:sz="4" w:space="0" w:color="auto"/>
              <w:left w:val="single" w:sz="4" w:space="0" w:color="auto"/>
              <w:bottom w:val="single" w:sz="4" w:space="0" w:color="auto"/>
            </w:tcBorders>
            <w:shd w:val="clear" w:color="auto" w:fill="auto"/>
          </w:tcPr>
          <w:p w:rsidR="00A6311B" w:rsidRPr="00112138" w:rsidRDefault="00B00909" w:rsidP="00F029A0">
            <w:pPr>
              <w:pStyle w:val="Text"/>
              <w:spacing w:before="100" w:after="100"/>
              <w:jc w:val="center"/>
              <w:rPr>
                <w:sz w:val="16"/>
                <w:szCs w:val="16"/>
              </w:rPr>
            </w:pPr>
            <w:r>
              <w:rPr>
                <w:sz w:val="16"/>
                <w:szCs w:val="16"/>
              </w:rPr>
              <w:fldChar w:fldCharType="begin"/>
            </w:r>
            <w:r>
              <w:rPr>
                <w:sz w:val="16"/>
                <w:szCs w:val="16"/>
              </w:rPr>
              <w:instrText xml:space="preserve"> PAGEREF PUBLIC_AVAILABLITY \h </w:instrText>
            </w:r>
            <w:r>
              <w:rPr>
                <w:sz w:val="16"/>
                <w:szCs w:val="16"/>
              </w:rPr>
            </w:r>
            <w:r>
              <w:rPr>
                <w:sz w:val="16"/>
                <w:szCs w:val="16"/>
              </w:rPr>
              <w:fldChar w:fldCharType="separate"/>
            </w:r>
            <w:r w:rsidR="00791D73">
              <w:rPr>
                <w:noProof/>
                <w:sz w:val="16"/>
                <w:szCs w:val="16"/>
              </w:rPr>
              <w:t>4</w:t>
            </w:r>
            <w:r>
              <w:rPr>
                <w:sz w:val="16"/>
                <w:szCs w:val="16"/>
              </w:rPr>
              <w:fldChar w:fldCharType="end"/>
            </w:r>
          </w:p>
        </w:tc>
      </w:tr>
      <w:tr w:rsidR="00A6311B" w:rsidRPr="00112138" w:rsidTr="00F029A0">
        <w:trPr>
          <w:cantSplit/>
        </w:trPr>
        <w:tc>
          <w:tcPr>
            <w:tcW w:w="1548" w:type="dxa"/>
            <w:vMerge/>
            <w:tcBorders>
              <w:right w:val="single" w:sz="4" w:space="0" w:color="auto"/>
            </w:tcBorders>
          </w:tcPr>
          <w:p w:rsidR="00A6311B" w:rsidRPr="00AD39B8" w:rsidRDefault="00A6311B" w:rsidP="00F029A0">
            <w:pPr>
              <w:pStyle w:val="Text"/>
              <w:spacing w:before="100" w:after="100"/>
              <w:rPr>
                <w:b/>
                <w:bCs/>
                <w:sz w:val="16"/>
              </w:rPr>
            </w:pPr>
          </w:p>
        </w:tc>
        <w:tc>
          <w:tcPr>
            <w:tcW w:w="4122" w:type="dxa"/>
            <w:tcBorders>
              <w:top w:val="single" w:sz="4" w:space="0" w:color="auto"/>
              <w:left w:val="single" w:sz="4" w:space="0" w:color="auto"/>
              <w:bottom w:val="single" w:sz="4" w:space="0" w:color="auto"/>
              <w:right w:val="single" w:sz="4" w:space="0" w:color="auto"/>
            </w:tcBorders>
          </w:tcPr>
          <w:p w:rsidR="00A6311B" w:rsidRPr="00E522CB" w:rsidRDefault="00A6311B" w:rsidP="00A6311B">
            <w:pPr>
              <w:pStyle w:val="Text"/>
              <w:numPr>
                <w:ilvl w:val="0"/>
                <w:numId w:val="113"/>
              </w:numPr>
              <w:tabs>
                <w:tab w:val="clear" w:pos="360"/>
                <w:tab w:val="num" w:pos="252"/>
              </w:tabs>
              <w:spacing w:before="100" w:after="100"/>
              <w:ind w:left="252" w:hanging="252"/>
              <w:rPr>
                <w:b/>
                <w:sz w:val="16"/>
                <w:szCs w:val="16"/>
              </w:rPr>
            </w:pPr>
            <w:r w:rsidRPr="00E522CB">
              <w:rPr>
                <w:b/>
                <w:sz w:val="16"/>
                <w:szCs w:val="16"/>
              </w:rPr>
              <w:t xml:space="preserve">Consultancies </w:t>
            </w:r>
          </w:p>
        </w:tc>
        <w:tc>
          <w:tcPr>
            <w:tcW w:w="2268" w:type="dxa"/>
            <w:tcBorders>
              <w:top w:val="single" w:sz="4" w:space="0" w:color="auto"/>
              <w:left w:val="single" w:sz="4" w:space="0" w:color="auto"/>
              <w:bottom w:val="single" w:sz="4" w:space="0" w:color="auto"/>
            </w:tcBorders>
            <w:shd w:val="clear" w:color="auto" w:fill="auto"/>
          </w:tcPr>
          <w:p w:rsidR="00A6311B" w:rsidRPr="00E522CB" w:rsidRDefault="00A6311B" w:rsidP="00F029A0">
            <w:pPr>
              <w:pStyle w:val="Text"/>
              <w:spacing w:before="100" w:after="100"/>
              <w:rPr>
                <w:sz w:val="16"/>
                <w:szCs w:val="16"/>
              </w:rPr>
            </w:pPr>
            <w:r>
              <w:rPr>
                <w:sz w:val="16"/>
                <w:szCs w:val="16"/>
              </w:rPr>
              <w:t>ARRs – section 33</w:t>
            </w:r>
            <w:r w:rsidRPr="00E522CB">
              <w:rPr>
                <w:sz w:val="16"/>
                <w:szCs w:val="16"/>
              </w:rPr>
              <w:t>.1</w:t>
            </w:r>
          </w:p>
        </w:tc>
        <w:tc>
          <w:tcPr>
            <w:tcW w:w="1654" w:type="dxa"/>
            <w:tcBorders>
              <w:top w:val="single" w:sz="4" w:space="0" w:color="auto"/>
              <w:left w:val="single" w:sz="4" w:space="0" w:color="auto"/>
              <w:bottom w:val="single" w:sz="4" w:space="0" w:color="auto"/>
            </w:tcBorders>
            <w:shd w:val="clear" w:color="auto" w:fill="auto"/>
          </w:tcPr>
          <w:p w:rsidR="00A6311B" w:rsidRPr="00C51BDF" w:rsidRDefault="00A6311B" w:rsidP="00F029A0">
            <w:pPr>
              <w:pStyle w:val="Text"/>
              <w:spacing w:before="100" w:after="100"/>
              <w:jc w:val="center"/>
              <w:rPr>
                <w:sz w:val="16"/>
                <w:szCs w:val="16"/>
              </w:rPr>
            </w:pPr>
            <w:r w:rsidRPr="00C51BDF">
              <w:rPr>
                <w:rStyle w:val="Hyperlink"/>
                <w:sz w:val="16"/>
                <w:szCs w:val="16"/>
              </w:rPr>
              <w:t>https://data.qld.gov.au</w:t>
            </w:r>
          </w:p>
        </w:tc>
      </w:tr>
      <w:tr w:rsidR="00A6311B" w:rsidRPr="00112138" w:rsidTr="00F029A0">
        <w:trPr>
          <w:cantSplit/>
        </w:trPr>
        <w:tc>
          <w:tcPr>
            <w:tcW w:w="1548" w:type="dxa"/>
            <w:vMerge/>
            <w:tcBorders>
              <w:right w:val="single" w:sz="4" w:space="0" w:color="auto"/>
            </w:tcBorders>
          </w:tcPr>
          <w:p w:rsidR="00A6311B" w:rsidRPr="00AD39B8" w:rsidRDefault="00A6311B" w:rsidP="00F029A0">
            <w:pPr>
              <w:pStyle w:val="Text"/>
              <w:spacing w:before="100" w:after="100"/>
              <w:rPr>
                <w:b/>
                <w:bCs/>
                <w:sz w:val="16"/>
              </w:rPr>
            </w:pPr>
          </w:p>
        </w:tc>
        <w:tc>
          <w:tcPr>
            <w:tcW w:w="4122" w:type="dxa"/>
            <w:tcBorders>
              <w:top w:val="single" w:sz="4" w:space="0" w:color="auto"/>
              <w:left w:val="single" w:sz="4" w:space="0" w:color="auto"/>
              <w:bottom w:val="single" w:sz="4" w:space="0" w:color="auto"/>
              <w:right w:val="single" w:sz="4" w:space="0" w:color="auto"/>
            </w:tcBorders>
          </w:tcPr>
          <w:p w:rsidR="00A6311B" w:rsidRPr="00E522CB" w:rsidRDefault="00A6311B" w:rsidP="00A6311B">
            <w:pPr>
              <w:pStyle w:val="Text"/>
              <w:numPr>
                <w:ilvl w:val="0"/>
                <w:numId w:val="113"/>
              </w:numPr>
              <w:tabs>
                <w:tab w:val="clear" w:pos="360"/>
                <w:tab w:val="num" w:pos="252"/>
              </w:tabs>
              <w:spacing w:before="100" w:after="100"/>
              <w:ind w:left="252" w:hanging="252"/>
              <w:rPr>
                <w:b/>
                <w:sz w:val="16"/>
                <w:szCs w:val="16"/>
              </w:rPr>
            </w:pPr>
            <w:r w:rsidRPr="00E522CB">
              <w:rPr>
                <w:b/>
                <w:sz w:val="16"/>
                <w:szCs w:val="16"/>
              </w:rPr>
              <w:t>Overseas travel</w:t>
            </w:r>
          </w:p>
        </w:tc>
        <w:tc>
          <w:tcPr>
            <w:tcW w:w="2268" w:type="dxa"/>
            <w:tcBorders>
              <w:top w:val="single" w:sz="4" w:space="0" w:color="auto"/>
              <w:left w:val="single" w:sz="4" w:space="0" w:color="auto"/>
              <w:bottom w:val="single" w:sz="4" w:space="0" w:color="auto"/>
            </w:tcBorders>
            <w:shd w:val="clear" w:color="auto" w:fill="auto"/>
          </w:tcPr>
          <w:p w:rsidR="00A6311B" w:rsidRPr="00E522CB" w:rsidRDefault="00A6311B" w:rsidP="00F029A0">
            <w:pPr>
              <w:pStyle w:val="Text"/>
              <w:spacing w:before="100" w:after="100"/>
              <w:rPr>
                <w:sz w:val="16"/>
                <w:szCs w:val="16"/>
              </w:rPr>
            </w:pPr>
            <w:r>
              <w:rPr>
                <w:sz w:val="16"/>
                <w:szCs w:val="16"/>
              </w:rPr>
              <w:t>ARRs – section 33</w:t>
            </w:r>
            <w:r w:rsidRPr="00E522CB">
              <w:rPr>
                <w:sz w:val="16"/>
                <w:szCs w:val="16"/>
              </w:rPr>
              <w:t>.2</w:t>
            </w:r>
          </w:p>
        </w:tc>
        <w:tc>
          <w:tcPr>
            <w:tcW w:w="1654" w:type="dxa"/>
            <w:tcBorders>
              <w:top w:val="single" w:sz="4" w:space="0" w:color="auto"/>
              <w:left w:val="single" w:sz="4" w:space="0" w:color="auto"/>
              <w:bottom w:val="single" w:sz="4" w:space="0" w:color="auto"/>
            </w:tcBorders>
            <w:shd w:val="clear" w:color="auto" w:fill="auto"/>
          </w:tcPr>
          <w:p w:rsidR="00A6311B" w:rsidRPr="00C51BDF" w:rsidRDefault="00A6311B" w:rsidP="00F029A0">
            <w:pPr>
              <w:pStyle w:val="Text"/>
              <w:spacing w:before="100" w:after="100"/>
              <w:jc w:val="center"/>
              <w:rPr>
                <w:sz w:val="16"/>
                <w:szCs w:val="16"/>
              </w:rPr>
            </w:pPr>
            <w:r w:rsidRPr="00C51BDF">
              <w:rPr>
                <w:rStyle w:val="Hyperlink"/>
                <w:sz w:val="16"/>
                <w:szCs w:val="16"/>
              </w:rPr>
              <w:t>https://data.qld.gov.au</w:t>
            </w:r>
          </w:p>
        </w:tc>
      </w:tr>
      <w:tr w:rsidR="00A6311B" w:rsidRPr="00112138" w:rsidTr="00F029A0">
        <w:trPr>
          <w:cantSplit/>
        </w:trPr>
        <w:tc>
          <w:tcPr>
            <w:tcW w:w="1548" w:type="dxa"/>
            <w:vMerge/>
            <w:tcBorders>
              <w:right w:val="single" w:sz="4" w:space="0" w:color="auto"/>
            </w:tcBorders>
          </w:tcPr>
          <w:p w:rsidR="00A6311B" w:rsidRPr="00AD39B8" w:rsidRDefault="00A6311B" w:rsidP="00F029A0">
            <w:pPr>
              <w:pStyle w:val="Text"/>
              <w:spacing w:before="100" w:after="100"/>
              <w:rPr>
                <w:b/>
                <w:bCs/>
                <w:sz w:val="16"/>
              </w:rPr>
            </w:pPr>
          </w:p>
        </w:tc>
        <w:tc>
          <w:tcPr>
            <w:tcW w:w="4122" w:type="dxa"/>
            <w:tcBorders>
              <w:top w:val="single" w:sz="4" w:space="0" w:color="auto"/>
              <w:left w:val="single" w:sz="4" w:space="0" w:color="auto"/>
              <w:bottom w:val="single" w:sz="4" w:space="0" w:color="auto"/>
              <w:right w:val="single" w:sz="4" w:space="0" w:color="auto"/>
            </w:tcBorders>
          </w:tcPr>
          <w:p w:rsidR="00A6311B" w:rsidRPr="00E522CB" w:rsidRDefault="00A6311B" w:rsidP="00A6311B">
            <w:pPr>
              <w:pStyle w:val="Text"/>
              <w:numPr>
                <w:ilvl w:val="0"/>
                <w:numId w:val="113"/>
              </w:numPr>
              <w:tabs>
                <w:tab w:val="clear" w:pos="360"/>
                <w:tab w:val="num" w:pos="252"/>
              </w:tabs>
              <w:spacing w:before="100" w:after="100"/>
              <w:ind w:left="252" w:hanging="252"/>
              <w:rPr>
                <w:b/>
                <w:sz w:val="16"/>
                <w:szCs w:val="16"/>
              </w:rPr>
            </w:pPr>
            <w:r w:rsidRPr="00E522CB">
              <w:rPr>
                <w:b/>
                <w:sz w:val="16"/>
                <w:szCs w:val="16"/>
              </w:rPr>
              <w:t>Queensland Language Services Policy</w:t>
            </w:r>
          </w:p>
        </w:tc>
        <w:tc>
          <w:tcPr>
            <w:tcW w:w="2268" w:type="dxa"/>
            <w:tcBorders>
              <w:top w:val="single" w:sz="4" w:space="0" w:color="auto"/>
              <w:left w:val="single" w:sz="4" w:space="0" w:color="auto"/>
              <w:bottom w:val="single" w:sz="4" w:space="0" w:color="auto"/>
            </w:tcBorders>
            <w:shd w:val="clear" w:color="auto" w:fill="auto"/>
          </w:tcPr>
          <w:p w:rsidR="00A6311B" w:rsidRPr="00E522CB" w:rsidRDefault="00A6311B" w:rsidP="00F029A0">
            <w:pPr>
              <w:pStyle w:val="Text"/>
              <w:spacing w:before="100" w:after="100"/>
              <w:rPr>
                <w:sz w:val="16"/>
                <w:szCs w:val="16"/>
              </w:rPr>
            </w:pPr>
            <w:r>
              <w:rPr>
                <w:sz w:val="16"/>
                <w:szCs w:val="16"/>
              </w:rPr>
              <w:t>ARRs – section 33</w:t>
            </w:r>
            <w:r w:rsidRPr="00E522CB">
              <w:rPr>
                <w:sz w:val="16"/>
                <w:szCs w:val="16"/>
              </w:rPr>
              <w:t>.3</w:t>
            </w:r>
          </w:p>
        </w:tc>
        <w:tc>
          <w:tcPr>
            <w:tcW w:w="1654" w:type="dxa"/>
            <w:tcBorders>
              <w:top w:val="single" w:sz="4" w:space="0" w:color="auto"/>
              <w:left w:val="single" w:sz="4" w:space="0" w:color="auto"/>
              <w:bottom w:val="single" w:sz="4" w:space="0" w:color="auto"/>
            </w:tcBorders>
            <w:shd w:val="clear" w:color="auto" w:fill="auto"/>
          </w:tcPr>
          <w:p w:rsidR="00A6311B" w:rsidRPr="00C51BDF" w:rsidRDefault="00A6311B" w:rsidP="00F029A0">
            <w:pPr>
              <w:pStyle w:val="Text"/>
              <w:spacing w:before="100" w:after="100"/>
              <w:jc w:val="center"/>
              <w:rPr>
                <w:sz w:val="16"/>
                <w:szCs w:val="16"/>
              </w:rPr>
            </w:pPr>
            <w:r w:rsidRPr="00C51BDF">
              <w:rPr>
                <w:rStyle w:val="Hyperlink"/>
                <w:sz w:val="16"/>
                <w:szCs w:val="16"/>
              </w:rPr>
              <w:t>https://data.qld.gov.au</w:t>
            </w:r>
          </w:p>
        </w:tc>
      </w:tr>
      <w:tr w:rsidR="00A6311B" w:rsidRPr="00112138" w:rsidTr="00F029A0">
        <w:trPr>
          <w:cantSplit/>
        </w:trPr>
        <w:tc>
          <w:tcPr>
            <w:tcW w:w="1548" w:type="dxa"/>
            <w:vMerge w:val="restart"/>
            <w:tcBorders>
              <w:top w:val="single" w:sz="4" w:space="0" w:color="auto"/>
              <w:bottom w:val="single" w:sz="4" w:space="0" w:color="auto"/>
              <w:right w:val="single" w:sz="4" w:space="0" w:color="auto"/>
            </w:tcBorders>
          </w:tcPr>
          <w:p w:rsidR="00A6311B" w:rsidRPr="00112138" w:rsidRDefault="00A6311B" w:rsidP="00F029A0">
            <w:pPr>
              <w:pStyle w:val="Text"/>
              <w:spacing w:before="100" w:after="100"/>
              <w:rPr>
                <w:b/>
                <w:bCs/>
                <w:sz w:val="16"/>
              </w:rPr>
            </w:pPr>
            <w:r w:rsidRPr="00112138">
              <w:rPr>
                <w:b/>
                <w:bCs/>
                <w:sz w:val="16"/>
              </w:rPr>
              <w:t>Financial statements</w:t>
            </w:r>
          </w:p>
        </w:tc>
        <w:tc>
          <w:tcPr>
            <w:tcW w:w="4122" w:type="dxa"/>
            <w:tcBorders>
              <w:top w:val="single" w:sz="4" w:space="0" w:color="auto"/>
              <w:left w:val="single" w:sz="4" w:space="0" w:color="auto"/>
              <w:bottom w:val="single" w:sz="4" w:space="0" w:color="auto"/>
              <w:right w:val="single" w:sz="4" w:space="0" w:color="auto"/>
            </w:tcBorders>
          </w:tcPr>
          <w:p w:rsidR="00A6311B" w:rsidRPr="00112138" w:rsidRDefault="00A6311B" w:rsidP="00A6311B">
            <w:pPr>
              <w:pStyle w:val="Text"/>
              <w:numPr>
                <w:ilvl w:val="0"/>
                <w:numId w:val="113"/>
              </w:numPr>
              <w:tabs>
                <w:tab w:val="clear" w:pos="360"/>
                <w:tab w:val="num" w:pos="252"/>
              </w:tabs>
              <w:spacing w:before="100" w:after="100"/>
              <w:ind w:left="252" w:hanging="252"/>
              <w:rPr>
                <w:b/>
                <w:sz w:val="16"/>
                <w:szCs w:val="16"/>
              </w:rPr>
            </w:pPr>
            <w:r w:rsidRPr="00112138">
              <w:rPr>
                <w:b/>
                <w:sz w:val="16"/>
                <w:szCs w:val="16"/>
              </w:rPr>
              <w:t>Certification of financial statements</w:t>
            </w:r>
          </w:p>
        </w:tc>
        <w:tc>
          <w:tcPr>
            <w:tcW w:w="2268" w:type="dxa"/>
            <w:tcBorders>
              <w:top w:val="single" w:sz="4" w:space="0" w:color="auto"/>
              <w:left w:val="single" w:sz="4" w:space="0" w:color="auto"/>
              <w:bottom w:val="single" w:sz="4" w:space="0" w:color="auto"/>
            </w:tcBorders>
            <w:shd w:val="clear" w:color="auto" w:fill="auto"/>
          </w:tcPr>
          <w:p w:rsidR="00A6311B" w:rsidRPr="00112138" w:rsidRDefault="00A6311B" w:rsidP="00F029A0">
            <w:pPr>
              <w:pStyle w:val="Text"/>
              <w:spacing w:before="100" w:after="100"/>
              <w:rPr>
                <w:sz w:val="16"/>
                <w:szCs w:val="16"/>
              </w:rPr>
            </w:pPr>
            <w:r>
              <w:rPr>
                <w:sz w:val="16"/>
                <w:szCs w:val="16"/>
              </w:rPr>
              <w:t>FAA</w:t>
            </w:r>
            <w:r w:rsidRPr="00112138">
              <w:rPr>
                <w:sz w:val="16"/>
                <w:szCs w:val="16"/>
              </w:rPr>
              <w:t xml:space="preserve"> – section 62</w:t>
            </w:r>
          </w:p>
          <w:p w:rsidR="00A6311B" w:rsidRDefault="00A6311B" w:rsidP="00F029A0">
            <w:pPr>
              <w:pStyle w:val="Text"/>
              <w:spacing w:before="100" w:after="100"/>
              <w:rPr>
                <w:sz w:val="16"/>
                <w:szCs w:val="16"/>
              </w:rPr>
            </w:pPr>
            <w:r w:rsidRPr="00112138">
              <w:rPr>
                <w:sz w:val="16"/>
                <w:szCs w:val="16"/>
              </w:rPr>
              <w:t>FPMS – sections 42, 43 and 50</w:t>
            </w:r>
          </w:p>
          <w:p w:rsidR="00A6311B" w:rsidRPr="00112138" w:rsidRDefault="00A6311B" w:rsidP="00F029A0">
            <w:pPr>
              <w:pStyle w:val="Text"/>
              <w:spacing w:before="100" w:after="100"/>
              <w:rPr>
                <w:sz w:val="16"/>
                <w:szCs w:val="16"/>
              </w:rPr>
            </w:pPr>
            <w:r>
              <w:rPr>
                <w:sz w:val="16"/>
                <w:szCs w:val="16"/>
              </w:rPr>
              <w:t>ARRs – section 17.1</w:t>
            </w:r>
          </w:p>
        </w:tc>
        <w:tc>
          <w:tcPr>
            <w:tcW w:w="1654" w:type="dxa"/>
            <w:tcBorders>
              <w:top w:val="single" w:sz="4" w:space="0" w:color="auto"/>
              <w:left w:val="single" w:sz="4" w:space="0" w:color="auto"/>
              <w:bottom w:val="single" w:sz="4" w:space="0" w:color="auto"/>
            </w:tcBorders>
            <w:shd w:val="clear" w:color="auto" w:fill="auto"/>
          </w:tcPr>
          <w:p w:rsidR="00A6311B" w:rsidRPr="00112138" w:rsidRDefault="00470689" w:rsidP="00F029A0">
            <w:pPr>
              <w:pStyle w:val="Text"/>
              <w:spacing w:before="100" w:after="100"/>
              <w:jc w:val="center"/>
              <w:rPr>
                <w:sz w:val="16"/>
                <w:szCs w:val="16"/>
              </w:rPr>
            </w:pPr>
            <w:hyperlink r:id="rId32" w:history="1">
              <w:r w:rsidR="00287C77" w:rsidRPr="005B0AE8">
                <w:rPr>
                  <w:rStyle w:val="Hyperlink"/>
                  <w:sz w:val="16"/>
                  <w:szCs w:val="16"/>
                </w:rPr>
                <w:t>http://www.hpw.qld.gov.au/aboutus/ReportsPublications/AnnualReports/Pages/default.aspx</w:t>
              </w:r>
            </w:hyperlink>
            <w:r w:rsidR="00287C77">
              <w:rPr>
                <w:sz w:val="16"/>
                <w:szCs w:val="16"/>
              </w:rPr>
              <w:t xml:space="preserve"> </w:t>
            </w:r>
          </w:p>
        </w:tc>
      </w:tr>
      <w:tr w:rsidR="00A6311B" w:rsidRPr="00112138" w:rsidTr="00F029A0">
        <w:trPr>
          <w:cantSplit/>
        </w:trPr>
        <w:tc>
          <w:tcPr>
            <w:tcW w:w="1548" w:type="dxa"/>
            <w:vMerge/>
            <w:tcBorders>
              <w:top w:val="single" w:sz="4" w:space="0" w:color="auto"/>
              <w:bottom w:val="single" w:sz="4" w:space="0" w:color="auto"/>
              <w:right w:val="single" w:sz="4" w:space="0" w:color="auto"/>
            </w:tcBorders>
          </w:tcPr>
          <w:p w:rsidR="00A6311B" w:rsidRPr="00112138" w:rsidRDefault="00A6311B" w:rsidP="00F029A0">
            <w:pPr>
              <w:pStyle w:val="Text"/>
              <w:spacing w:before="100" w:after="100"/>
              <w:rPr>
                <w:bCs/>
                <w:sz w:val="16"/>
              </w:rPr>
            </w:pPr>
          </w:p>
        </w:tc>
        <w:tc>
          <w:tcPr>
            <w:tcW w:w="4122" w:type="dxa"/>
            <w:tcBorders>
              <w:top w:val="single" w:sz="4" w:space="0" w:color="auto"/>
              <w:left w:val="single" w:sz="4" w:space="0" w:color="auto"/>
              <w:bottom w:val="single" w:sz="4" w:space="0" w:color="auto"/>
              <w:right w:val="single" w:sz="4" w:space="0" w:color="auto"/>
            </w:tcBorders>
          </w:tcPr>
          <w:p w:rsidR="00A6311B" w:rsidRPr="00112138" w:rsidRDefault="00A6311B" w:rsidP="00A6311B">
            <w:pPr>
              <w:pStyle w:val="Text"/>
              <w:numPr>
                <w:ilvl w:val="0"/>
                <w:numId w:val="113"/>
              </w:numPr>
              <w:tabs>
                <w:tab w:val="clear" w:pos="360"/>
                <w:tab w:val="num" w:pos="252"/>
              </w:tabs>
              <w:spacing w:before="100" w:after="100"/>
              <w:ind w:left="252" w:hanging="252"/>
              <w:rPr>
                <w:b/>
                <w:sz w:val="16"/>
                <w:szCs w:val="16"/>
              </w:rPr>
            </w:pPr>
            <w:r w:rsidRPr="00112138">
              <w:rPr>
                <w:b/>
                <w:sz w:val="16"/>
                <w:szCs w:val="16"/>
              </w:rPr>
              <w:t>Independent Auditor</w:t>
            </w:r>
            <w:r>
              <w:rPr>
                <w:b/>
                <w:sz w:val="16"/>
                <w:szCs w:val="16"/>
              </w:rPr>
              <w:t>’</w:t>
            </w:r>
            <w:r w:rsidRPr="00112138">
              <w:rPr>
                <w:b/>
                <w:sz w:val="16"/>
                <w:szCs w:val="16"/>
              </w:rPr>
              <w:t>s Report</w:t>
            </w:r>
          </w:p>
        </w:tc>
        <w:tc>
          <w:tcPr>
            <w:tcW w:w="2268" w:type="dxa"/>
            <w:tcBorders>
              <w:top w:val="single" w:sz="4" w:space="0" w:color="auto"/>
              <w:left w:val="single" w:sz="4" w:space="0" w:color="auto"/>
              <w:bottom w:val="single" w:sz="4" w:space="0" w:color="auto"/>
            </w:tcBorders>
            <w:shd w:val="clear" w:color="auto" w:fill="auto"/>
          </w:tcPr>
          <w:p w:rsidR="00A6311B" w:rsidRPr="00112138" w:rsidRDefault="00A6311B" w:rsidP="00F029A0">
            <w:pPr>
              <w:pStyle w:val="Text"/>
              <w:spacing w:before="100" w:after="100"/>
              <w:rPr>
                <w:sz w:val="16"/>
                <w:szCs w:val="16"/>
              </w:rPr>
            </w:pPr>
            <w:r>
              <w:rPr>
                <w:sz w:val="16"/>
                <w:szCs w:val="16"/>
              </w:rPr>
              <w:t>FAA</w:t>
            </w:r>
            <w:r w:rsidRPr="00112138">
              <w:rPr>
                <w:sz w:val="16"/>
                <w:szCs w:val="16"/>
              </w:rPr>
              <w:t xml:space="preserve"> – section 62</w:t>
            </w:r>
          </w:p>
          <w:p w:rsidR="00A6311B" w:rsidRDefault="00A6311B" w:rsidP="00F029A0">
            <w:pPr>
              <w:pStyle w:val="Text"/>
              <w:spacing w:before="100" w:after="100"/>
              <w:rPr>
                <w:sz w:val="16"/>
                <w:szCs w:val="16"/>
              </w:rPr>
            </w:pPr>
            <w:r w:rsidRPr="00112138">
              <w:rPr>
                <w:sz w:val="16"/>
                <w:szCs w:val="16"/>
              </w:rPr>
              <w:t>FPMS – section 50</w:t>
            </w:r>
          </w:p>
          <w:p w:rsidR="00A6311B" w:rsidRPr="00112138" w:rsidRDefault="00A6311B" w:rsidP="00F029A0">
            <w:pPr>
              <w:pStyle w:val="Text"/>
              <w:spacing w:before="100" w:after="100"/>
              <w:rPr>
                <w:sz w:val="16"/>
                <w:szCs w:val="16"/>
              </w:rPr>
            </w:pPr>
            <w:r>
              <w:rPr>
                <w:sz w:val="16"/>
                <w:szCs w:val="16"/>
              </w:rPr>
              <w:t>ARRs – section 17.2</w:t>
            </w:r>
          </w:p>
        </w:tc>
        <w:tc>
          <w:tcPr>
            <w:tcW w:w="1654" w:type="dxa"/>
            <w:tcBorders>
              <w:top w:val="single" w:sz="4" w:space="0" w:color="auto"/>
              <w:left w:val="single" w:sz="4" w:space="0" w:color="auto"/>
              <w:bottom w:val="single" w:sz="4" w:space="0" w:color="auto"/>
            </w:tcBorders>
            <w:shd w:val="clear" w:color="auto" w:fill="auto"/>
          </w:tcPr>
          <w:p w:rsidR="00A6311B" w:rsidRPr="00112138" w:rsidRDefault="00470689" w:rsidP="00F029A0">
            <w:pPr>
              <w:pStyle w:val="Text"/>
              <w:spacing w:before="100" w:after="100"/>
              <w:jc w:val="center"/>
              <w:rPr>
                <w:sz w:val="16"/>
                <w:szCs w:val="16"/>
              </w:rPr>
            </w:pPr>
            <w:hyperlink r:id="rId33" w:history="1">
              <w:r w:rsidR="00287C77" w:rsidRPr="005B0AE8">
                <w:rPr>
                  <w:rStyle w:val="Hyperlink"/>
                  <w:sz w:val="16"/>
                  <w:szCs w:val="16"/>
                </w:rPr>
                <w:t>http://www.hpw.qld.gov.au/aboutus/ReportsPublications/AnnualReports/Pages/default.aspx</w:t>
              </w:r>
            </w:hyperlink>
            <w:r w:rsidR="00287C77">
              <w:rPr>
                <w:sz w:val="16"/>
                <w:szCs w:val="16"/>
              </w:rPr>
              <w:t xml:space="preserve"> </w:t>
            </w:r>
          </w:p>
        </w:tc>
      </w:tr>
    </w:tbl>
    <w:p w:rsidR="00A6311B" w:rsidRDefault="00A6311B" w:rsidP="00A6311B">
      <w:pPr>
        <w:pStyle w:val="Text"/>
        <w:rPr>
          <w:i/>
          <w:sz w:val="16"/>
          <w:szCs w:val="16"/>
        </w:rPr>
      </w:pPr>
      <w:r>
        <w:rPr>
          <w:sz w:val="16"/>
          <w:szCs w:val="16"/>
        </w:rPr>
        <w:t xml:space="preserve">FAA </w:t>
      </w:r>
      <w:r>
        <w:rPr>
          <w:sz w:val="16"/>
          <w:szCs w:val="16"/>
        </w:rPr>
        <w:tab/>
      </w:r>
      <w:r w:rsidRPr="00D66B0B">
        <w:rPr>
          <w:i/>
          <w:sz w:val="16"/>
          <w:szCs w:val="16"/>
        </w:rPr>
        <w:t>Financial Accountability Act 2009</w:t>
      </w:r>
      <w:r>
        <w:rPr>
          <w:i/>
          <w:sz w:val="16"/>
          <w:szCs w:val="16"/>
        </w:rPr>
        <w:t xml:space="preserve"> </w:t>
      </w:r>
    </w:p>
    <w:p w:rsidR="00A6311B" w:rsidRPr="00F82043" w:rsidRDefault="00A6311B" w:rsidP="00A6311B">
      <w:pPr>
        <w:pStyle w:val="Text"/>
        <w:rPr>
          <w:i/>
          <w:sz w:val="16"/>
          <w:szCs w:val="16"/>
        </w:rPr>
      </w:pPr>
      <w:r>
        <w:rPr>
          <w:sz w:val="16"/>
          <w:szCs w:val="16"/>
        </w:rPr>
        <w:t xml:space="preserve">FPMS </w:t>
      </w:r>
      <w:r>
        <w:rPr>
          <w:sz w:val="16"/>
          <w:szCs w:val="16"/>
        </w:rPr>
        <w:tab/>
      </w:r>
      <w:r w:rsidRPr="00D66B0B">
        <w:rPr>
          <w:i/>
          <w:sz w:val="16"/>
          <w:szCs w:val="16"/>
        </w:rPr>
        <w:t>Financial and Performance Management Standard 2009</w:t>
      </w:r>
    </w:p>
    <w:p w:rsidR="00A6311B" w:rsidRPr="00112138" w:rsidRDefault="00A6311B" w:rsidP="00A6311B">
      <w:pPr>
        <w:pStyle w:val="Text"/>
        <w:rPr>
          <w:sz w:val="16"/>
          <w:szCs w:val="16"/>
        </w:rPr>
      </w:pPr>
      <w:r w:rsidRPr="00112138">
        <w:rPr>
          <w:sz w:val="16"/>
          <w:szCs w:val="16"/>
        </w:rPr>
        <w:t>A</w:t>
      </w:r>
      <w:r>
        <w:rPr>
          <w:sz w:val="16"/>
          <w:szCs w:val="16"/>
        </w:rPr>
        <w:t>RRs</w:t>
      </w:r>
      <w:r>
        <w:rPr>
          <w:sz w:val="16"/>
          <w:szCs w:val="16"/>
        </w:rPr>
        <w:tab/>
      </w:r>
      <w:r w:rsidRPr="00112138">
        <w:rPr>
          <w:i/>
          <w:sz w:val="16"/>
          <w:szCs w:val="16"/>
        </w:rPr>
        <w:t>Annual report requirements for Queensland Government agencies</w:t>
      </w:r>
    </w:p>
    <w:p w:rsidR="00A6311B" w:rsidRPr="0010587C" w:rsidRDefault="00A6311B" w:rsidP="0010587C">
      <w:pPr>
        <w:tabs>
          <w:tab w:val="left" w:pos="1701"/>
        </w:tabs>
      </w:pPr>
    </w:p>
    <w:sectPr w:rsidR="00A6311B" w:rsidRPr="0010587C" w:rsidSect="00C96F1A">
      <w:type w:val="continuous"/>
      <w:pgSz w:w="11910" w:h="16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9A0" w:rsidRDefault="00F029A0">
      <w:r>
        <w:separator/>
      </w:r>
    </w:p>
  </w:endnote>
  <w:endnote w:type="continuationSeparator" w:id="0">
    <w:p w:rsidR="00F029A0" w:rsidRDefault="00F0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ヒラギノ角ゴ Pro W3">
    <w:altName w:val="MS Gothic"/>
    <w:charset w:val="80"/>
    <w:family w:val="auto"/>
    <w:pitch w:val="variable"/>
    <w:sig w:usb0="00000000" w:usb1="00000000" w:usb2="07040407" w:usb3="00000000" w:csb0="00020000" w:csb1="00000000"/>
  </w:font>
  <w:font w:name="Calibri">
    <w:panose1 w:val="020F0502020204030204"/>
    <w:charset w:val="00"/>
    <w:family w:val="swiss"/>
    <w:pitch w:val="variable"/>
    <w:sig w:usb0="E0002AFF" w:usb1="C000247B" w:usb2="00000009" w:usb3="00000000" w:csb0="000001FF" w:csb1="00000000"/>
  </w:font>
  <w:font w:name="MetaNormalLF-Roman">
    <w:altName w:val="Cambria"/>
    <w:charset w:val="00"/>
    <w:family w:val="swiss"/>
    <w:pitch w:val="variable"/>
    <w:sig w:usb0="8000002F" w:usb1="4000004A" w:usb2="00000000" w:usb3="00000000" w:csb0="00000001" w:csb1="00000000"/>
  </w:font>
  <w:font w:name="MetaNormalLF-Italic">
    <w:altName w:val="Calibri"/>
    <w:charset w:val="00"/>
    <w:family w:val="swiss"/>
    <w:pitch w:val="variable"/>
    <w:sig w:usb0="8000002F" w:usb1="4000004A" w:usb2="00000000" w:usb3="00000000" w:csb0="00000001" w:csb1="00000000"/>
  </w:font>
  <w:font w:name="MetaBoldLF-Roman">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UAYPM+MetaNormal-Roman">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9A0" w:rsidRPr="00D806AE" w:rsidRDefault="00F029A0" w:rsidP="00D80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011192"/>
      <w:docPartObj>
        <w:docPartGallery w:val="Page Numbers (Bottom of Page)"/>
        <w:docPartUnique/>
      </w:docPartObj>
    </w:sdtPr>
    <w:sdtEndPr>
      <w:rPr>
        <w:noProof/>
      </w:rPr>
    </w:sdtEndPr>
    <w:sdtContent>
      <w:p w:rsidR="00F029A0" w:rsidRDefault="00F029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029A0" w:rsidRPr="00F51E03" w:rsidRDefault="00F029A0" w:rsidP="00F51E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9A0" w:rsidRPr="00265130" w:rsidRDefault="00F029A0" w:rsidP="002651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9A0" w:rsidRPr="005831D2" w:rsidRDefault="00F029A0" w:rsidP="005831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9A0" w:rsidRPr="003E39EB" w:rsidRDefault="00F029A0" w:rsidP="003E39E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9A0" w:rsidRPr="005831D2" w:rsidRDefault="00F029A0" w:rsidP="005831D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9A0" w:rsidRPr="00D34E1A" w:rsidRDefault="00F029A0" w:rsidP="00D34E1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9A0" w:rsidRPr="00D34E1A" w:rsidRDefault="00F029A0" w:rsidP="00D34E1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9A0" w:rsidRDefault="00F029A0">
    <w:pPr>
      <w:pStyle w:val="BodyText"/>
      <w:spacing w:line="14" w:lineRule="auto"/>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9A0" w:rsidRDefault="00F029A0">
      <w:r>
        <w:separator/>
      </w:r>
    </w:p>
  </w:footnote>
  <w:footnote w:type="continuationSeparator" w:id="0">
    <w:p w:rsidR="00F029A0" w:rsidRDefault="00F029A0">
      <w:r>
        <w:continuationSeparator/>
      </w:r>
    </w:p>
  </w:footnote>
  <w:footnote w:id="1">
    <w:p w:rsidR="00F029A0" w:rsidRDefault="00F029A0" w:rsidP="00704D55">
      <w:pPr>
        <w:pStyle w:val="FootnoteText"/>
      </w:pPr>
      <w:r>
        <w:rPr>
          <w:rStyle w:val="FootnoteReference"/>
        </w:rPr>
        <w:footnoteRef/>
      </w:r>
      <w:r>
        <w:t xml:space="preserve"> </w:t>
      </w:r>
      <w:r w:rsidRPr="00C32C5B">
        <w:t>All FTE data is based on active and paid parameters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9A0" w:rsidRDefault="00F029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F1A"/>
    <w:multiLevelType w:val="hybridMultilevel"/>
    <w:tmpl w:val="288CDD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EE7610"/>
    <w:multiLevelType w:val="hybridMultilevel"/>
    <w:tmpl w:val="337C63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A67FC7"/>
    <w:multiLevelType w:val="hybridMultilevel"/>
    <w:tmpl w:val="94945E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A769BB"/>
    <w:multiLevelType w:val="hybridMultilevel"/>
    <w:tmpl w:val="DBCA66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017DBF"/>
    <w:multiLevelType w:val="hybridMultilevel"/>
    <w:tmpl w:val="B3820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C01CDF"/>
    <w:multiLevelType w:val="hybridMultilevel"/>
    <w:tmpl w:val="9D5671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5F6424"/>
    <w:multiLevelType w:val="hybridMultilevel"/>
    <w:tmpl w:val="6CA4545C"/>
    <w:lvl w:ilvl="0" w:tplc="0C090001">
      <w:start w:val="1"/>
      <w:numFmt w:val="bullet"/>
      <w:lvlText w:val=""/>
      <w:lvlJc w:val="left"/>
      <w:pPr>
        <w:ind w:left="360" w:hanging="360"/>
      </w:pPr>
      <w:rPr>
        <w:rFonts w:ascii="Symbol" w:hAnsi="Symbol" w:hint="default"/>
      </w:rPr>
    </w:lvl>
    <w:lvl w:ilvl="1" w:tplc="B312362C">
      <w:numFmt w:val="bullet"/>
      <w:lvlText w:val="–"/>
      <w:lvlJc w:val="left"/>
      <w:pPr>
        <w:ind w:left="1080" w:hanging="360"/>
      </w:pPr>
      <w:rPr>
        <w:rFonts w:ascii="Arial" w:eastAsiaTheme="minorEastAs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D510B4C"/>
    <w:multiLevelType w:val="hybridMultilevel"/>
    <w:tmpl w:val="4E2668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D785CE2"/>
    <w:multiLevelType w:val="hybridMultilevel"/>
    <w:tmpl w:val="416AD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DE23BFE"/>
    <w:multiLevelType w:val="hybridMultilevel"/>
    <w:tmpl w:val="67220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E481825"/>
    <w:multiLevelType w:val="hybridMultilevel"/>
    <w:tmpl w:val="030E78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FC0358"/>
    <w:multiLevelType w:val="hybridMultilevel"/>
    <w:tmpl w:val="CBF27696"/>
    <w:lvl w:ilvl="0" w:tplc="B312362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CF2D06"/>
    <w:multiLevelType w:val="hybridMultilevel"/>
    <w:tmpl w:val="E030285C"/>
    <w:lvl w:ilvl="0" w:tplc="B312362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C37282"/>
    <w:multiLevelType w:val="hybridMultilevel"/>
    <w:tmpl w:val="4A6EEC1A"/>
    <w:lvl w:ilvl="0" w:tplc="DB921C78">
      <w:start w:val="1"/>
      <w:numFmt w:val="bullet"/>
      <w:lvlText w:val="-"/>
      <w:lvlJc w:val="left"/>
      <w:pPr>
        <w:ind w:left="720" w:hanging="360"/>
      </w:pPr>
      <w:rPr>
        <w:rFonts w:ascii="Courier New" w:hAnsi="Courier New" w:hint="default"/>
        <w:strike w:val="0"/>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31450C"/>
    <w:multiLevelType w:val="hybridMultilevel"/>
    <w:tmpl w:val="5EAC6F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48149B6"/>
    <w:multiLevelType w:val="hybridMultilevel"/>
    <w:tmpl w:val="3B94F3F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4CD2D5C"/>
    <w:multiLevelType w:val="hybridMultilevel"/>
    <w:tmpl w:val="B6F08A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6EA4ADD"/>
    <w:multiLevelType w:val="hybridMultilevel"/>
    <w:tmpl w:val="7EA89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72107E5"/>
    <w:multiLevelType w:val="hybridMultilevel"/>
    <w:tmpl w:val="212E6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76C49CA"/>
    <w:multiLevelType w:val="hybridMultilevel"/>
    <w:tmpl w:val="FA1EDD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8721220"/>
    <w:multiLevelType w:val="hybridMultilevel"/>
    <w:tmpl w:val="30AA4D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9133271"/>
    <w:multiLevelType w:val="hybridMultilevel"/>
    <w:tmpl w:val="9F562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9BC7DDA"/>
    <w:multiLevelType w:val="hybridMultilevel"/>
    <w:tmpl w:val="BCBAD1CA"/>
    <w:lvl w:ilvl="0" w:tplc="B312362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A613AE5"/>
    <w:multiLevelType w:val="hybridMultilevel"/>
    <w:tmpl w:val="46DA89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BB10E18"/>
    <w:multiLevelType w:val="hybridMultilevel"/>
    <w:tmpl w:val="E23C9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C2B5D80"/>
    <w:multiLevelType w:val="hybridMultilevel"/>
    <w:tmpl w:val="7ECCF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1DAD1F50"/>
    <w:multiLevelType w:val="hybridMultilevel"/>
    <w:tmpl w:val="DAFCA7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1F6F2467"/>
    <w:multiLevelType w:val="hybridMultilevel"/>
    <w:tmpl w:val="908821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0686157"/>
    <w:multiLevelType w:val="hybridMultilevel"/>
    <w:tmpl w:val="04BE29A0"/>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46A3991"/>
    <w:multiLevelType w:val="hybridMultilevel"/>
    <w:tmpl w:val="76B466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7855ED4"/>
    <w:multiLevelType w:val="hybridMultilevel"/>
    <w:tmpl w:val="79820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9167E09"/>
    <w:multiLevelType w:val="hybridMultilevel"/>
    <w:tmpl w:val="EB20B0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95B51CE"/>
    <w:multiLevelType w:val="hybridMultilevel"/>
    <w:tmpl w:val="13B43C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2AD73205"/>
    <w:multiLevelType w:val="hybridMultilevel"/>
    <w:tmpl w:val="6A9A002A"/>
    <w:lvl w:ilvl="0" w:tplc="B312362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C533869"/>
    <w:multiLevelType w:val="hybridMultilevel"/>
    <w:tmpl w:val="B9CEAF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2C6F5B64"/>
    <w:multiLevelType w:val="hybridMultilevel"/>
    <w:tmpl w:val="956AA3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2CFA3ABF"/>
    <w:multiLevelType w:val="hybridMultilevel"/>
    <w:tmpl w:val="D032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D472F69"/>
    <w:multiLevelType w:val="hybridMultilevel"/>
    <w:tmpl w:val="23CA5A86"/>
    <w:lvl w:ilvl="0" w:tplc="DB921C78">
      <w:start w:val="1"/>
      <w:numFmt w:val="bullet"/>
      <w:lvlText w:val="-"/>
      <w:lvlJc w:val="left"/>
      <w:pPr>
        <w:ind w:left="720" w:hanging="360"/>
      </w:pPr>
      <w:rPr>
        <w:rFonts w:ascii="Courier New" w:hAnsi="Courier New" w:hint="default"/>
        <w:strike w:val="0"/>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FCE3CFB"/>
    <w:multiLevelType w:val="hybridMultilevel"/>
    <w:tmpl w:val="5F9AF90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3CD7F54"/>
    <w:multiLevelType w:val="hybridMultilevel"/>
    <w:tmpl w:val="2580FA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363263C3"/>
    <w:multiLevelType w:val="hybridMultilevel"/>
    <w:tmpl w:val="EE3291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36330724"/>
    <w:multiLevelType w:val="hybridMultilevel"/>
    <w:tmpl w:val="9266D0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85858E1"/>
    <w:multiLevelType w:val="hybridMultilevel"/>
    <w:tmpl w:val="EA0EA2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39D26D36"/>
    <w:multiLevelType w:val="hybridMultilevel"/>
    <w:tmpl w:val="FDB6D1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B015FFA"/>
    <w:multiLevelType w:val="hybridMultilevel"/>
    <w:tmpl w:val="66924D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3C136B35"/>
    <w:multiLevelType w:val="hybridMultilevel"/>
    <w:tmpl w:val="36BE8B4A"/>
    <w:lvl w:ilvl="0" w:tplc="B312362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C20560F"/>
    <w:multiLevelType w:val="hybridMultilevel"/>
    <w:tmpl w:val="754C85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EDB142B"/>
    <w:multiLevelType w:val="hybridMultilevel"/>
    <w:tmpl w:val="B36A7A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3EF50E1C"/>
    <w:multiLevelType w:val="hybridMultilevel"/>
    <w:tmpl w:val="F342E0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43707113"/>
    <w:multiLevelType w:val="hybridMultilevel"/>
    <w:tmpl w:val="B4A00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43C23BBA"/>
    <w:multiLevelType w:val="hybridMultilevel"/>
    <w:tmpl w:val="33F002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458B166B"/>
    <w:multiLevelType w:val="hybridMultilevel"/>
    <w:tmpl w:val="5CFE17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80"/>
        </w:tabs>
        <w:ind w:left="-180" w:hanging="360"/>
      </w:pPr>
      <w:rPr>
        <w:rFonts w:ascii="Courier New" w:hAnsi="Courier New" w:cs="ヒラギノ角ゴ Pro W3" w:hint="default"/>
      </w:rPr>
    </w:lvl>
    <w:lvl w:ilvl="2" w:tplc="0C090005" w:tentative="1">
      <w:start w:val="1"/>
      <w:numFmt w:val="bullet"/>
      <w:lvlText w:val=""/>
      <w:lvlJc w:val="left"/>
      <w:pPr>
        <w:tabs>
          <w:tab w:val="num" w:pos="540"/>
        </w:tabs>
        <w:ind w:left="540" w:hanging="360"/>
      </w:pPr>
      <w:rPr>
        <w:rFonts w:ascii="Wingdings" w:hAnsi="Wingdings" w:hint="default"/>
      </w:rPr>
    </w:lvl>
    <w:lvl w:ilvl="3" w:tplc="0C090001" w:tentative="1">
      <w:start w:val="1"/>
      <w:numFmt w:val="bullet"/>
      <w:lvlText w:val=""/>
      <w:lvlJc w:val="left"/>
      <w:pPr>
        <w:tabs>
          <w:tab w:val="num" w:pos="1260"/>
        </w:tabs>
        <w:ind w:left="1260" w:hanging="360"/>
      </w:pPr>
      <w:rPr>
        <w:rFonts w:ascii="Symbol" w:hAnsi="Symbol" w:hint="default"/>
      </w:rPr>
    </w:lvl>
    <w:lvl w:ilvl="4" w:tplc="0C090003" w:tentative="1">
      <w:start w:val="1"/>
      <w:numFmt w:val="bullet"/>
      <w:lvlText w:val="o"/>
      <w:lvlJc w:val="left"/>
      <w:pPr>
        <w:tabs>
          <w:tab w:val="num" w:pos="1980"/>
        </w:tabs>
        <w:ind w:left="1980" w:hanging="360"/>
      </w:pPr>
      <w:rPr>
        <w:rFonts w:ascii="Courier New" w:hAnsi="Courier New" w:cs="ヒラギノ角ゴ Pro W3" w:hint="default"/>
      </w:rPr>
    </w:lvl>
    <w:lvl w:ilvl="5" w:tplc="0C090005" w:tentative="1">
      <w:start w:val="1"/>
      <w:numFmt w:val="bullet"/>
      <w:lvlText w:val=""/>
      <w:lvlJc w:val="left"/>
      <w:pPr>
        <w:tabs>
          <w:tab w:val="num" w:pos="2700"/>
        </w:tabs>
        <w:ind w:left="2700" w:hanging="360"/>
      </w:pPr>
      <w:rPr>
        <w:rFonts w:ascii="Wingdings" w:hAnsi="Wingdings" w:hint="default"/>
      </w:rPr>
    </w:lvl>
    <w:lvl w:ilvl="6" w:tplc="0C090001" w:tentative="1">
      <w:start w:val="1"/>
      <w:numFmt w:val="bullet"/>
      <w:lvlText w:val=""/>
      <w:lvlJc w:val="left"/>
      <w:pPr>
        <w:tabs>
          <w:tab w:val="num" w:pos="3420"/>
        </w:tabs>
        <w:ind w:left="3420" w:hanging="360"/>
      </w:pPr>
      <w:rPr>
        <w:rFonts w:ascii="Symbol" w:hAnsi="Symbol" w:hint="default"/>
      </w:rPr>
    </w:lvl>
    <w:lvl w:ilvl="7" w:tplc="0C090003" w:tentative="1">
      <w:start w:val="1"/>
      <w:numFmt w:val="bullet"/>
      <w:lvlText w:val="o"/>
      <w:lvlJc w:val="left"/>
      <w:pPr>
        <w:tabs>
          <w:tab w:val="num" w:pos="4140"/>
        </w:tabs>
        <w:ind w:left="4140" w:hanging="360"/>
      </w:pPr>
      <w:rPr>
        <w:rFonts w:ascii="Courier New" w:hAnsi="Courier New" w:cs="ヒラギノ角ゴ Pro W3" w:hint="default"/>
      </w:rPr>
    </w:lvl>
    <w:lvl w:ilvl="8" w:tplc="0C090005" w:tentative="1">
      <w:start w:val="1"/>
      <w:numFmt w:val="bullet"/>
      <w:lvlText w:val=""/>
      <w:lvlJc w:val="left"/>
      <w:pPr>
        <w:tabs>
          <w:tab w:val="num" w:pos="4860"/>
        </w:tabs>
        <w:ind w:left="4860" w:hanging="360"/>
      </w:pPr>
      <w:rPr>
        <w:rFonts w:ascii="Wingdings" w:hAnsi="Wingdings" w:hint="default"/>
      </w:rPr>
    </w:lvl>
  </w:abstractNum>
  <w:abstractNum w:abstractNumId="52" w15:restartNumberingAfterBreak="0">
    <w:nsid w:val="460902F1"/>
    <w:multiLevelType w:val="hybridMultilevel"/>
    <w:tmpl w:val="1EB6B1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46D46732"/>
    <w:multiLevelType w:val="hybridMultilevel"/>
    <w:tmpl w:val="33E42F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47507B36"/>
    <w:multiLevelType w:val="hybridMultilevel"/>
    <w:tmpl w:val="2A4642CA"/>
    <w:lvl w:ilvl="0" w:tplc="873C82AA">
      <w:numFmt w:val="bullet"/>
      <w:lvlText w:val="►"/>
      <w:lvlJc w:val="left"/>
      <w:pPr>
        <w:ind w:left="720" w:hanging="360"/>
      </w:pPr>
      <w:rPr>
        <w:rFonts w:ascii="Arial" w:eastAsiaTheme="minorEastAsia"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7CC2DEE"/>
    <w:multiLevelType w:val="hybridMultilevel"/>
    <w:tmpl w:val="7F4886BC"/>
    <w:lvl w:ilvl="0" w:tplc="DB921C78">
      <w:start w:val="1"/>
      <w:numFmt w:val="bullet"/>
      <w:lvlText w:val="-"/>
      <w:lvlJc w:val="left"/>
      <w:pPr>
        <w:ind w:left="720" w:hanging="360"/>
      </w:pPr>
      <w:rPr>
        <w:rFonts w:ascii="Courier New" w:hAnsi="Courier New" w:hint="default"/>
        <w:strike w:val="0"/>
        <w:color w:val="000000"/>
      </w:rPr>
    </w:lvl>
    <w:lvl w:ilvl="1" w:tplc="2638839A">
      <w:numFmt w:val="bullet"/>
      <w:lvlText w:val="•"/>
      <w:lvlJc w:val="left"/>
      <w:pPr>
        <w:ind w:left="1440" w:hanging="36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8B63802"/>
    <w:multiLevelType w:val="hybridMultilevel"/>
    <w:tmpl w:val="DC565A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492A0AF1"/>
    <w:multiLevelType w:val="hybridMultilevel"/>
    <w:tmpl w:val="BEE6F9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4A0C6162"/>
    <w:multiLevelType w:val="hybridMultilevel"/>
    <w:tmpl w:val="8E2483C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B4427E3"/>
    <w:multiLevelType w:val="hybridMultilevel"/>
    <w:tmpl w:val="D16A67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4C7D1B27"/>
    <w:multiLevelType w:val="hybridMultilevel"/>
    <w:tmpl w:val="D76C0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4D033DB6"/>
    <w:multiLevelType w:val="hybridMultilevel"/>
    <w:tmpl w:val="55E6DA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4FA10D2B"/>
    <w:multiLevelType w:val="hybridMultilevel"/>
    <w:tmpl w:val="A398A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4FD31B3B"/>
    <w:multiLevelType w:val="hybridMultilevel"/>
    <w:tmpl w:val="AF3E76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4FFC4A1F"/>
    <w:multiLevelType w:val="hybridMultilevel"/>
    <w:tmpl w:val="BD003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506B6501"/>
    <w:multiLevelType w:val="hybridMultilevel"/>
    <w:tmpl w:val="6388C8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521700D7"/>
    <w:multiLevelType w:val="hybridMultilevel"/>
    <w:tmpl w:val="B740C3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535B0748"/>
    <w:multiLevelType w:val="hybridMultilevel"/>
    <w:tmpl w:val="0AFCC3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539B247A"/>
    <w:multiLevelType w:val="hybridMultilevel"/>
    <w:tmpl w:val="4014A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5553088F"/>
    <w:multiLevelType w:val="hybridMultilevel"/>
    <w:tmpl w:val="0D78FEA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5741668"/>
    <w:multiLevelType w:val="hybridMultilevel"/>
    <w:tmpl w:val="33F002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56FB342B"/>
    <w:multiLevelType w:val="hybridMultilevel"/>
    <w:tmpl w:val="0E3C75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58142D42"/>
    <w:multiLevelType w:val="hybridMultilevel"/>
    <w:tmpl w:val="DCA64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58690B26"/>
    <w:multiLevelType w:val="hybridMultilevel"/>
    <w:tmpl w:val="C30E8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5946283D"/>
    <w:multiLevelType w:val="hybridMultilevel"/>
    <w:tmpl w:val="715A0B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59EF6133"/>
    <w:multiLevelType w:val="hybridMultilevel"/>
    <w:tmpl w:val="2AF2DC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5A4E3005"/>
    <w:multiLevelType w:val="hybridMultilevel"/>
    <w:tmpl w:val="E5C8C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B8A7C03"/>
    <w:multiLevelType w:val="hybridMultilevel"/>
    <w:tmpl w:val="BCFE1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5BAB0A1E"/>
    <w:multiLevelType w:val="hybridMultilevel"/>
    <w:tmpl w:val="C0B8D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5BC00E41"/>
    <w:multiLevelType w:val="hybridMultilevel"/>
    <w:tmpl w:val="1FC09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5C82217F"/>
    <w:multiLevelType w:val="hybridMultilevel"/>
    <w:tmpl w:val="9F445F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5D4A27E5"/>
    <w:multiLevelType w:val="hybridMultilevel"/>
    <w:tmpl w:val="67A0CA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5DD32FF3"/>
    <w:multiLevelType w:val="hybridMultilevel"/>
    <w:tmpl w:val="8A2E94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5DDE652B"/>
    <w:multiLevelType w:val="hybridMultilevel"/>
    <w:tmpl w:val="E9D40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5E245B35"/>
    <w:multiLevelType w:val="hybridMultilevel"/>
    <w:tmpl w:val="93AA7C2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5F1276D7"/>
    <w:multiLevelType w:val="hybridMultilevel"/>
    <w:tmpl w:val="E1921B68"/>
    <w:lvl w:ilvl="0" w:tplc="B312362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FC96BCE"/>
    <w:multiLevelType w:val="multilevel"/>
    <w:tmpl w:val="6CE64782"/>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7" w15:restartNumberingAfterBreak="0">
    <w:nsid w:val="5FDF2C63"/>
    <w:multiLevelType w:val="hybridMultilevel"/>
    <w:tmpl w:val="0F0A6B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60D646C5"/>
    <w:multiLevelType w:val="hybridMultilevel"/>
    <w:tmpl w:val="47AE48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6132155A"/>
    <w:multiLevelType w:val="hybridMultilevel"/>
    <w:tmpl w:val="1A7412AA"/>
    <w:lvl w:ilvl="0" w:tplc="0C090001">
      <w:start w:val="1"/>
      <w:numFmt w:val="bullet"/>
      <w:lvlText w:val=""/>
      <w:lvlJc w:val="left"/>
      <w:pPr>
        <w:ind w:left="360" w:hanging="360"/>
      </w:pPr>
      <w:rPr>
        <w:rFonts w:ascii="Symbol" w:hAnsi="Symbol" w:hint="default"/>
      </w:rPr>
    </w:lvl>
    <w:lvl w:ilvl="1" w:tplc="652E2CE2">
      <w:start w:val="30"/>
      <w:numFmt w:val="bullet"/>
      <w:lvlText w:val="•"/>
      <w:lvlJc w:val="left"/>
      <w:pPr>
        <w:ind w:left="1080" w:hanging="360"/>
      </w:pPr>
      <w:rPr>
        <w:rFonts w:ascii="Arial" w:eastAsiaTheme="minorEastAs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639929A3"/>
    <w:multiLevelType w:val="hybridMultilevel"/>
    <w:tmpl w:val="386034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65454D4B"/>
    <w:multiLevelType w:val="hybridMultilevel"/>
    <w:tmpl w:val="1460EE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65C205E3"/>
    <w:multiLevelType w:val="hybridMultilevel"/>
    <w:tmpl w:val="EE98F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66FC0E07"/>
    <w:multiLevelType w:val="hybridMultilevel"/>
    <w:tmpl w:val="26BA2ED8"/>
    <w:lvl w:ilvl="0" w:tplc="1AB8621A">
      <w:start w:val="1"/>
      <w:numFmt w:val="decimal"/>
      <w:pStyle w:val="NoteIndent"/>
      <w:lvlText w:val="%1."/>
      <w:lvlJc w:val="left"/>
      <w:pPr>
        <w:ind w:left="360" w:hanging="360"/>
      </w:pPr>
      <w:rPr>
        <w:rFonts w:ascii="Arial" w:hAnsi="Arial" w:hint="default"/>
        <w:b w:val="0"/>
        <w:i w:val="0"/>
        <w:sz w:val="16"/>
        <w:u w:val="none"/>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94" w15:restartNumberingAfterBreak="0">
    <w:nsid w:val="67004996"/>
    <w:multiLevelType w:val="hybridMultilevel"/>
    <w:tmpl w:val="ACB653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687A59BB"/>
    <w:multiLevelType w:val="hybridMultilevel"/>
    <w:tmpl w:val="28A25C14"/>
    <w:lvl w:ilvl="0" w:tplc="B312362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89278E2"/>
    <w:multiLevelType w:val="hybridMultilevel"/>
    <w:tmpl w:val="70669A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68C107A1"/>
    <w:multiLevelType w:val="hybridMultilevel"/>
    <w:tmpl w:val="CC58E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15:restartNumberingAfterBreak="0">
    <w:nsid w:val="69332494"/>
    <w:multiLevelType w:val="hybridMultilevel"/>
    <w:tmpl w:val="64DA7C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69425CF8"/>
    <w:multiLevelType w:val="hybridMultilevel"/>
    <w:tmpl w:val="DD2683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695658B5"/>
    <w:multiLevelType w:val="hybridMultilevel"/>
    <w:tmpl w:val="B4024D9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6BAD176C"/>
    <w:multiLevelType w:val="hybridMultilevel"/>
    <w:tmpl w:val="7B5277F8"/>
    <w:lvl w:ilvl="0" w:tplc="609A789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2" w15:restartNumberingAfterBreak="0">
    <w:nsid w:val="74662F63"/>
    <w:multiLevelType w:val="hybridMultilevel"/>
    <w:tmpl w:val="004266C4"/>
    <w:lvl w:ilvl="0" w:tplc="B312362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5CF60C5"/>
    <w:multiLevelType w:val="hybridMultilevel"/>
    <w:tmpl w:val="49303F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4" w15:restartNumberingAfterBreak="0">
    <w:nsid w:val="75DA0BF4"/>
    <w:multiLevelType w:val="hybridMultilevel"/>
    <w:tmpl w:val="A7EEDF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5" w15:restartNumberingAfterBreak="0">
    <w:nsid w:val="772B0888"/>
    <w:multiLevelType w:val="hybridMultilevel"/>
    <w:tmpl w:val="E684D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7BCF175E"/>
    <w:multiLevelType w:val="hybridMultilevel"/>
    <w:tmpl w:val="3BACB7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7C191694"/>
    <w:multiLevelType w:val="hybridMultilevel"/>
    <w:tmpl w:val="E56E6190"/>
    <w:lvl w:ilvl="0" w:tplc="0C090001">
      <w:start w:val="1"/>
      <w:numFmt w:val="bullet"/>
      <w:lvlText w:val=""/>
      <w:lvlJc w:val="left"/>
      <w:pPr>
        <w:ind w:left="360" w:hanging="360"/>
      </w:pPr>
      <w:rPr>
        <w:rFonts w:ascii="Symbol" w:hAnsi="Symbol" w:hint="default"/>
      </w:rPr>
    </w:lvl>
    <w:lvl w:ilvl="1" w:tplc="2638839A">
      <w:numFmt w:val="bullet"/>
      <w:lvlText w:val="•"/>
      <w:lvlJc w:val="left"/>
      <w:pPr>
        <w:ind w:left="1080" w:hanging="360"/>
      </w:pPr>
      <w:rPr>
        <w:rFonts w:ascii="Arial" w:eastAsiaTheme="minorEastAs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8" w15:restartNumberingAfterBreak="0">
    <w:nsid w:val="7CB2099F"/>
    <w:multiLevelType w:val="hybridMultilevel"/>
    <w:tmpl w:val="7DD867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7D19013B"/>
    <w:multiLevelType w:val="hybridMultilevel"/>
    <w:tmpl w:val="936C36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7E4B64CD"/>
    <w:multiLevelType w:val="hybridMultilevel"/>
    <w:tmpl w:val="A5FE87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1" w15:restartNumberingAfterBreak="0">
    <w:nsid w:val="7EB243F4"/>
    <w:multiLevelType w:val="hybridMultilevel"/>
    <w:tmpl w:val="AA6471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2" w15:restartNumberingAfterBreak="0">
    <w:nsid w:val="7EDA4083"/>
    <w:multiLevelType w:val="hybridMultilevel"/>
    <w:tmpl w:val="6270FC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92"/>
  </w:num>
  <w:num w:numId="3">
    <w:abstractNumId w:val="78"/>
  </w:num>
  <w:num w:numId="4">
    <w:abstractNumId w:val="25"/>
  </w:num>
  <w:num w:numId="5">
    <w:abstractNumId w:val="63"/>
  </w:num>
  <w:num w:numId="6">
    <w:abstractNumId w:val="26"/>
  </w:num>
  <w:num w:numId="7">
    <w:abstractNumId w:val="20"/>
  </w:num>
  <w:num w:numId="8">
    <w:abstractNumId w:val="90"/>
  </w:num>
  <w:num w:numId="9">
    <w:abstractNumId w:val="72"/>
  </w:num>
  <w:num w:numId="10">
    <w:abstractNumId w:val="15"/>
  </w:num>
  <w:num w:numId="11">
    <w:abstractNumId w:val="6"/>
  </w:num>
  <w:num w:numId="12">
    <w:abstractNumId w:val="21"/>
  </w:num>
  <w:num w:numId="13">
    <w:abstractNumId w:val="30"/>
  </w:num>
  <w:num w:numId="14">
    <w:abstractNumId w:val="73"/>
  </w:num>
  <w:num w:numId="15">
    <w:abstractNumId w:val="35"/>
  </w:num>
  <w:num w:numId="16">
    <w:abstractNumId w:val="40"/>
  </w:num>
  <w:num w:numId="17">
    <w:abstractNumId w:val="14"/>
  </w:num>
  <w:num w:numId="18">
    <w:abstractNumId w:val="42"/>
  </w:num>
  <w:num w:numId="19">
    <w:abstractNumId w:val="91"/>
  </w:num>
  <w:num w:numId="20">
    <w:abstractNumId w:val="16"/>
  </w:num>
  <w:num w:numId="21">
    <w:abstractNumId w:val="110"/>
  </w:num>
  <w:num w:numId="22">
    <w:abstractNumId w:val="93"/>
  </w:num>
  <w:num w:numId="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6"/>
  </w:num>
  <w:num w:numId="25">
    <w:abstractNumId w:val="43"/>
  </w:num>
  <w:num w:numId="26">
    <w:abstractNumId w:val="101"/>
  </w:num>
  <w:num w:numId="27">
    <w:abstractNumId w:val="60"/>
  </w:num>
  <w:num w:numId="28">
    <w:abstractNumId w:val="97"/>
  </w:num>
  <w:num w:numId="29">
    <w:abstractNumId w:val="1"/>
  </w:num>
  <w:num w:numId="30">
    <w:abstractNumId w:val="46"/>
  </w:num>
  <w:num w:numId="31">
    <w:abstractNumId w:val="48"/>
  </w:num>
  <w:num w:numId="32">
    <w:abstractNumId w:val="66"/>
  </w:num>
  <w:num w:numId="33">
    <w:abstractNumId w:val="99"/>
  </w:num>
  <w:num w:numId="34">
    <w:abstractNumId w:val="37"/>
  </w:num>
  <w:num w:numId="35">
    <w:abstractNumId w:val="68"/>
  </w:num>
  <w:num w:numId="36">
    <w:abstractNumId w:val="79"/>
  </w:num>
  <w:num w:numId="37">
    <w:abstractNumId w:val="19"/>
  </w:num>
  <w:num w:numId="38">
    <w:abstractNumId w:val="7"/>
  </w:num>
  <w:num w:numId="39">
    <w:abstractNumId w:val="18"/>
  </w:num>
  <w:num w:numId="40">
    <w:abstractNumId w:val="74"/>
  </w:num>
  <w:num w:numId="41">
    <w:abstractNumId w:val="49"/>
  </w:num>
  <w:num w:numId="42">
    <w:abstractNumId w:val="52"/>
  </w:num>
  <w:num w:numId="43">
    <w:abstractNumId w:val="45"/>
  </w:num>
  <w:num w:numId="44">
    <w:abstractNumId w:val="34"/>
  </w:num>
  <w:num w:numId="45">
    <w:abstractNumId w:val="24"/>
  </w:num>
  <w:num w:numId="46">
    <w:abstractNumId w:val="77"/>
  </w:num>
  <w:num w:numId="47">
    <w:abstractNumId w:val="0"/>
  </w:num>
  <w:num w:numId="48">
    <w:abstractNumId w:val="104"/>
  </w:num>
  <w:num w:numId="49">
    <w:abstractNumId w:val="22"/>
  </w:num>
  <w:num w:numId="50">
    <w:abstractNumId w:val="65"/>
  </w:num>
  <w:num w:numId="51">
    <w:abstractNumId w:val="5"/>
  </w:num>
  <w:num w:numId="52">
    <w:abstractNumId w:val="71"/>
  </w:num>
  <w:num w:numId="53">
    <w:abstractNumId w:val="75"/>
  </w:num>
  <w:num w:numId="54">
    <w:abstractNumId w:val="17"/>
  </w:num>
  <w:num w:numId="55">
    <w:abstractNumId w:val="67"/>
  </w:num>
  <w:num w:numId="56">
    <w:abstractNumId w:val="31"/>
  </w:num>
  <w:num w:numId="57">
    <w:abstractNumId w:val="12"/>
  </w:num>
  <w:num w:numId="58">
    <w:abstractNumId w:val="83"/>
  </w:num>
  <w:num w:numId="59">
    <w:abstractNumId w:val="27"/>
  </w:num>
  <w:num w:numId="60">
    <w:abstractNumId w:val="29"/>
  </w:num>
  <w:num w:numId="61">
    <w:abstractNumId w:val="87"/>
  </w:num>
  <w:num w:numId="62">
    <w:abstractNumId w:val="56"/>
  </w:num>
  <w:num w:numId="63">
    <w:abstractNumId w:val="85"/>
  </w:num>
  <w:num w:numId="64">
    <w:abstractNumId w:val="4"/>
  </w:num>
  <w:num w:numId="65">
    <w:abstractNumId w:val="88"/>
  </w:num>
  <w:num w:numId="66">
    <w:abstractNumId w:val="8"/>
  </w:num>
  <w:num w:numId="67">
    <w:abstractNumId w:val="44"/>
  </w:num>
  <w:num w:numId="68">
    <w:abstractNumId w:val="3"/>
  </w:num>
  <w:num w:numId="69">
    <w:abstractNumId w:val="57"/>
  </w:num>
  <w:num w:numId="70">
    <w:abstractNumId w:val="10"/>
  </w:num>
  <w:num w:numId="71">
    <w:abstractNumId w:val="32"/>
  </w:num>
  <w:num w:numId="72">
    <w:abstractNumId w:val="105"/>
  </w:num>
  <w:num w:numId="73">
    <w:abstractNumId w:val="82"/>
  </w:num>
  <w:num w:numId="74">
    <w:abstractNumId w:val="98"/>
  </w:num>
  <w:num w:numId="75">
    <w:abstractNumId w:val="61"/>
  </w:num>
  <w:num w:numId="76">
    <w:abstractNumId w:val="102"/>
  </w:num>
  <w:num w:numId="77">
    <w:abstractNumId w:val="39"/>
  </w:num>
  <w:num w:numId="78">
    <w:abstractNumId w:val="9"/>
  </w:num>
  <w:num w:numId="79">
    <w:abstractNumId w:val="69"/>
  </w:num>
  <w:num w:numId="80">
    <w:abstractNumId w:val="64"/>
  </w:num>
  <w:num w:numId="81">
    <w:abstractNumId w:val="38"/>
  </w:num>
  <w:num w:numId="82">
    <w:abstractNumId w:val="80"/>
  </w:num>
  <w:num w:numId="83">
    <w:abstractNumId w:val="95"/>
  </w:num>
  <w:num w:numId="84">
    <w:abstractNumId w:val="94"/>
  </w:num>
  <w:num w:numId="85">
    <w:abstractNumId w:val="36"/>
  </w:num>
  <w:num w:numId="86">
    <w:abstractNumId w:val="84"/>
  </w:num>
  <w:num w:numId="87">
    <w:abstractNumId w:val="53"/>
  </w:num>
  <w:num w:numId="88">
    <w:abstractNumId w:val="70"/>
  </w:num>
  <w:num w:numId="89">
    <w:abstractNumId w:val="103"/>
  </w:num>
  <w:num w:numId="90">
    <w:abstractNumId w:val="41"/>
  </w:num>
  <w:num w:numId="91">
    <w:abstractNumId w:val="108"/>
  </w:num>
  <w:num w:numId="92">
    <w:abstractNumId w:val="109"/>
  </w:num>
  <w:num w:numId="93">
    <w:abstractNumId w:val="81"/>
  </w:num>
  <w:num w:numId="94">
    <w:abstractNumId w:val="47"/>
  </w:num>
  <w:num w:numId="95">
    <w:abstractNumId w:val="100"/>
  </w:num>
  <w:num w:numId="96">
    <w:abstractNumId w:val="107"/>
  </w:num>
  <w:num w:numId="97">
    <w:abstractNumId w:val="55"/>
  </w:num>
  <w:num w:numId="98">
    <w:abstractNumId w:val="112"/>
  </w:num>
  <w:num w:numId="99">
    <w:abstractNumId w:val="111"/>
  </w:num>
  <w:num w:numId="100">
    <w:abstractNumId w:val="58"/>
  </w:num>
  <w:num w:numId="101">
    <w:abstractNumId w:val="62"/>
  </w:num>
  <w:num w:numId="102">
    <w:abstractNumId w:val="59"/>
  </w:num>
  <w:num w:numId="103">
    <w:abstractNumId w:val="89"/>
  </w:num>
  <w:num w:numId="104">
    <w:abstractNumId w:val="23"/>
  </w:num>
  <w:num w:numId="105">
    <w:abstractNumId w:val="86"/>
  </w:num>
  <w:num w:numId="106">
    <w:abstractNumId w:val="13"/>
  </w:num>
  <w:num w:numId="107">
    <w:abstractNumId w:val="106"/>
  </w:num>
  <w:num w:numId="108">
    <w:abstractNumId w:val="33"/>
  </w:num>
  <w:num w:numId="109">
    <w:abstractNumId w:val="54"/>
  </w:num>
  <w:num w:numId="110">
    <w:abstractNumId w:val="28"/>
  </w:num>
  <w:num w:numId="111">
    <w:abstractNumId w:val="96"/>
  </w:num>
  <w:num w:numId="112">
    <w:abstractNumId w:val="11"/>
  </w:num>
  <w:num w:numId="113">
    <w:abstractNumId w:val="5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characterSpacingControl w:val="doNotCompress"/>
  <w:hdrShapeDefaults>
    <o:shapedefaults v:ext="edit" spidmax="380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8A"/>
    <w:rsid w:val="00021639"/>
    <w:rsid w:val="00040522"/>
    <w:rsid w:val="00053C2E"/>
    <w:rsid w:val="0006740F"/>
    <w:rsid w:val="000B3860"/>
    <w:rsid w:val="000D5510"/>
    <w:rsid w:val="000E69F0"/>
    <w:rsid w:val="000F79B8"/>
    <w:rsid w:val="000F7FF1"/>
    <w:rsid w:val="0010587C"/>
    <w:rsid w:val="0011015A"/>
    <w:rsid w:val="001224D0"/>
    <w:rsid w:val="0012555A"/>
    <w:rsid w:val="00126E37"/>
    <w:rsid w:val="00140085"/>
    <w:rsid w:val="00143F52"/>
    <w:rsid w:val="00153047"/>
    <w:rsid w:val="001612DF"/>
    <w:rsid w:val="001A4120"/>
    <w:rsid w:val="001B76DB"/>
    <w:rsid w:val="001C54E2"/>
    <w:rsid w:val="001D33DB"/>
    <w:rsid w:val="001E07C8"/>
    <w:rsid w:val="001F3458"/>
    <w:rsid w:val="001F3A74"/>
    <w:rsid w:val="001F4709"/>
    <w:rsid w:val="00204307"/>
    <w:rsid w:val="002223E2"/>
    <w:rsid w:val="00224406"/>
    <w:rsid w:val="00224657"/>
    <w:rsid w:val="00225D37"/>
    <w:rsid w:val="002275FA"/>
    <w:rsid w:val="00237EE7"/>
    <w:rsid w:val="00247724"/>
    <w:rsid w:val="002531D1"/>
    <w:rsid w:val="00265130"/>
    <w:rsid w:val="0028598A"/>
    <w:rsid w:val="00287C77"/>
    <w:rsid w:val="002C0E1B"/>
    <w:rsid w:val="002C24CA"/>
    <w:rsid w:val="002C7347"/>
    <w:rsid w:val="002D537F"/>
    <w:rsid w:val="002E32FC"/>
    <w:rsid w:val="002E367D"/>
    <w:rsid w:val="00321B30"/>
    <w:rsid w:val="00331C96"/>
    <w:rsid w:val="00336087"/>
    <w:rsid w:val="00336159"/>
    <w:rsid w:val="003514A3"/>
    <w:rsid w:val="00351753"/>
    <w:rsid w:val="00363726"/>
    <w:rsid w:val="003700D2"/>
    <w:rsid w:val="003941F1"/>
    <w:rsid w:val="003979CD"/>
    <w:rsid w:val="003C1C68"/>
    <w:rsid w:val="003E39EB"/>
    <w:rsid w:val="003F2FC4"/>
    <w:rsid w:val="004027DF"/>
    <w:rsid w:val="00405909"/>
    <w:rsid w:val="00420465"/>
    <w:rsid w:val="00427037"/>
    <w:rsid w:val="00433AA4"/>
    <w:rsid w:val="00446D6A"/>
    <w:rsid w:val="0045446D"/>
    <w:rsid w:val="004550B4"/>
    <w:rsid w:val="00470689"/>
    <w:rsid w:val="004731E9"/>
    <w:rsid w:val="00473495"/>
    <w:rsid w:val="004960A8"/>
    <w:rsid w:val="004A554E"/>
    <w:rsid w:val="004A7520"/>
    <w:rsid w:val="004B0131"/>
    <w:rsid w:val="004B1A68"/>
    <w:rsid w:val="004B7689"/>
    <w:rsid w:val="004C7A0F"/>
    <w:rsid w:val="004D276E"/>
    <w:rsid w:val="004E3556"/>
    <w:rsid w:val="004F4649"/>
    <w:rsid w:val="004F78ED"/>
    <w:rsid w:val="00512A50"/>
    <w:rsid w:val="005334E8"/>
    <w:rsid w:val="00534FED"/>
    <w:rsid w:val="00550473"/>
    <w:rsid w:val="00574507"/>
    <w:rsid w:val="005831D2"/>
    <w:rsid w:val="005A3186"/>
    <w:rsid w:val="005A395B"/>
    <w:rsid w:val="005B65D5"/>
    <w:rsid w:val="005C2FC2"/>
    <w:rsid w:val="005C79CF"/>
    <w:rsid w:val="005D7744"/>
    <w:rsid w:val="005E1A24"/>
    <w:rsid w:val="005F52BA"/>
    <w:rsid w:val="005F7F92"/>
    <w:rsid w:val="00637922"/>
    <w:rsid w:val="006411C5"/>
    <w:rsid w:val="0065172D"/>
    <w:rsid w:val="00654D92"/>
    <w:rsid w:val="00665F8D"/>
    <w:rsid w:val="00673F1B"/>
    <w:rsid w:val="00677265"/>
    <w:rsid w:val="00694D7C"/>
    <w:rsid w:val="006B39C6"/>
    <w:rsid w:val="006B4DFB"/>
    <w:rsid w:val="006B611B"/>
    <w:rsid w:val="006C4115"/>
    <w:rsid w:val="006E74E8"/>
    <w:rsid w:val="006F0CE5"/>
    <w:rsid w:val="006F15DB"/>
    <w:rsid w:val="006F2791"/>
    <w:rsid w:val="006F27B4"/>
    <w:rsid w:val="006F7B73"/>
    <w:rsid w:val="00704D55"/>
    <w:rsid w:val="007050FC"/>
    <w:rsid w:val="007145CA"/>
    <w:rsid w:val="00734ED6"/>
    <w:rsid w:val="00740C80"/>
    <w:rsid w:val="00744B55"/>
    <w:rsid w:val="00762108"/>
    <w:rsid w:val="00762586"/>
    <w:rsid w:val="007829DC"/>
    <w:rsid w:val="007838B3"/>
    <w:rsid w:val="00791D73"/>
    <w:rsid w:val="00796D02"/>
    <w:rsid w:val="007A046A"/>
    <w:rsid w:val="007A7860"/>
    <w:rsid w:val="007B50F7"/>
    <w:rsid w:val="007D4F53"/>
    <w:rsid w:val="007F0448"/>
    <w:rsid w:val="007F7EE9"/>
    <w:rsid w:val="00807C65"/>
    <w:rsid w:val="00810CD7"/>
    <w:rsid w:val="008156BD"/>
    <w:rsid w:val="00822572"/>
    <w:rsid w:val="00827752"/>
    <w:rsid w:val="00835AA7"/>
    <w:rsid w:val="008568A3"/>
    <w:rsid w:val="008765FE"/>
    <w:rsid w:val="00886D98"/>
    <w:rsid w:val="00887FDD"/>
    <w:rsid w:val="008A7D9B"/>
    <w:rsid w:val="008B7210"/>
    <w:rsid w:val="008D292C"/>
    <w:rsid w:val="008D4D49"/>
    <w:rsid w:val="008E71AD"/>
    <w:rsid w:val="008F6840"/>
    <w:rsid w:val="009334AD"/>
    <w:rsid w:val="009452A5"/>
    <w:rsid w:val="0095026F"/>
    <w:rsid w:val="00953919"/>
    <w:rsid w:val="00955566"/>
    <w:rsid w:val="00957B03"/>
    <w:rsid w:val="009710F0"/>
    <w:rsid w:val="00980564"/>
    <w:rsid w:val="00987BCA"/>
    <w:rsid w:val="00991116"/>
    <w:rsid w:val="0099149A"/>
    <w:rsid w:val="009A7A10"/>
    <w:rsid w:val="009A7BE8"/>
    <w:rsid w:val="009B2AB5"/>
    <w:rsid w:val="009B731A"/>
    <w:rsid w:val="009C1546"/>
    <w:rsid w:val="009C52A7"/>
    <w:rsid w:val="009E0D95"/>
    <w:rsid w:val="009F44BE"/>
    <w:rsid w:val="00A03DBD"/>
    <w:rsid w:val="00A14EA1"/>
    <w:rsid w:val="00A20AA1"/>
    <w:rsid w:val="00A62B20"/>
    <w:rsid w:val="00A6311B"/>
    <w:rsid w:val="00A673F5"/>
    <w:rsid w:val="00A713CF"/>
    <w:rsid w:val="00A71B04"/>
    <w:rsid w:val="00A916FD"/>
    <w:rsid w:val="00A94B61"/>
    <w:rsid w:val="00AA0BD5"/>
    <w:rsid w:val="00AB7E10"/>
    <w:rsid w:val="00AD1337"/>
    <w:rsid w:val="00AE30A7"/>
    <w:rsid w:val="00AF217C"/>
    <w:rsid w:val="00B00909"/>
    <w:rsid w:val="00B07F32"/>
    <w:rsid w:val="00B20DE8"/>
    <w:rsid w:val="00B249F0"/>
    <w:rsid w:val="00B31DB7"/>
    <w:rsid w:val="00B34E65"/>
    <w:rsid w:val="00B37043"/>
    <w:rsid w:val="00B42E1C"/>
    <w:rsid w:val="00B431B6"/>
    <w:rsid w:val="00B54A76"/>
    <w:rsid w:val="00B60C00"/>
    <w:rsid w:val="00B625AF"/>
    <w:rsid w:val="00B63ED2"/>
    <w:rsid w:val="00B8528F"/>
    <w:rsid w:val="00B87568"/>
    <w:rsid w:val="00B8777E"/>
    <w:rsid w:val="00BA5C09"/>
    <w:rsid w:val="00BC26D0"/>
    <w:rsid w:val="00BD5DDA"/>
    <w:rsid w:val="00C04E69"/>
    <w:rsid w:val="00C218BA"/>
    <w:rsid w:val="00C37BF4"/>
    <w:rsid w:val="00C51BDF"/>
    <w:rsid w:val="00C53E34"/>
    <w:rsid w:val="00C56661"/>
    <w:rsid w:val="00C80650"/>
    <w:rsid w:val="00C92228"/>
    <w:rsid w:val="00C96F1A"/>
    <w:rsid w:val="00C971D5"/>
    <w:rsid w:val="00CA19D3"/>
    <w:rsid w:val="00CB55A6"/>
    <w:rsid w:val="00CB5872"/>
    <w:rsid w:val="00CC4876"/>
    <w:rsid w:val="00CC6E4B"/>
    <w:rsid w:val="00CD1230"/>
    <w:rsid w:val="00CE4D0A"/>
    <w:rsid w:val="00CE6C6F"/>
    <w:rsid w:val="00CF1728"/>
    <w:rsid w:val="00CF21E2"/>
    <w:rsid w:val="00D14E8E"/>
    <w:rsid w:val="00D250FD"/>
    <w:rsid w:val="00D31D02"/>
    <w:rsid w:val="00D32A5E"/>
    <w:rsid w:val="00D342AE"/>
    <w:rsid w:val="00D34E1A"/>
    <w:rsid w:val="00D41807"/>
    <w:rsid w:val="00D603EA"/>
    <w:rsid w:val="00D60C97"/>
    <w:rsid w:val="00D806AE"/>
    <w:rsid w:val="00D82583"/>
    <w:rsid w:val="00D97B08"/>
    <w:rsid w:val="00DA0EC5"/>
    <w:rsid w:val="00DA6363"/>
    <w:rsid w:val="00DC0446"/>
    <w:rsid w:val="00DD2A8F"/>
    <w:rsid w:val="00DD5B39"/>
    <w:rsid w:val="00E21F14"/>
    <w:rsid w:val="00E65918"/>
    <w:rsid w:val="00E84600"/>
    <w:rsid w:val="00E909E2"/>
    <w:rsid w:val="00E93089"/>
    <w:rsid w:val="00EE15EB"/>
    <w:rsid w:val="00EE25C2"/>
    <w:rsid w:val="00EF541B"/>
    <w:rsid w:val="00F029A0"/>
    <w:rsid w:val="00F046CE"/>
    <w:rsid w:val="00F0702C"/>
    <w:rsid w:val="00F337DB"/>
    <w:rsid w:val="00F50C10"/>
    <w:rsid w:val="00F51E03"/>
    <w:rsid w:val="00F670CC"/>
    <w:rsid w:val="00F84B09"/>
    <w:rsid w:val="00FA3BAD"/>
    <w:rsid w:val="00FA5596"/>
    <w:rsid w:val="00FA64DF"/>
    <w:rsid w:val="00FC37A1"/>
    <w:rsid w:val="00FC4034"/>
    <w:rsid w:val="00FC4865"/>
    <w:rsid w:val="00FC4C8F"/>
    <w:rsid w:val="00FC7B26"/>
    <w:rsid w:val="00FE020A"/>
    <w:rsid w:val="00FF255B"/>
    <w:rsid w:val="00FF68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09"/>
    <o:shapelayout v:ext="edit">
      <o:idmap v:ext="edit" data="1,3"/>
    </o:shapelayout>
  </w:shapeDefaults>
  <w:decimalSymbol w:val="."/>
  <w:listSeparator w:val=","/>
  <w14:docId w14:val="76AFF128"/>
  <w15:docId w15:val="{4239AB62-6B03-4CF1-841A-DED902C5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CE5"/>
    <w:pPr>
      <w:spacing w:before="120" w:after="120"/>
    </w:pPr>
    <w:rPr>
      <w:szCs w:val="24"/>
      <w:lang w:val="en-GB"/>
    </w:rPr>
  </w:style>
  <w:style w:type="paragraph" w:styleId="Heading1">
    <w:name w:val="heading 1"/>
    <w:basedOn w:val="Normal"/>
    <w:next w:val="Normal"/>
    <w:link w:val="Heading1Char"/>
    <w:uiPriority w:val="9"/>
    <w:qFormat/>
    <w:rsid w:val="00247724"/>
    <w:pPr>
      <w:keepNext/>
      <w:spacing w:before="240" w:after="60"/>
      <w:outlineLvl w:val="0"/>
    </w:pPr>
    <w:rPr>
      <w:rFonts w:asciiTheme="majorHAnsi" w:eastAsiaTheme="majorEastAsia" w:hAnsiTheme="majorHAnsi" w:cstheme="majorBidi"/>
      <w:b/>
      <w:bCs/>
      <w:caps/>
      <w:kern w:val="32"/>
      <w:sz w:val="40"/>
      <w:szCs w:val="32"/>
    </w:rPr>
  </w:style>
  <w:style w:type="paragraph" w:styleId="Heading2">
    <w:name w:val="heading 2"/>
    <w:basedOn w:val="Normal"/>
    <w:next w:val="Normal"/>
    <w:link w:val="Heading2Char"/>
    <w:uiPriority w:val="9"/>
    <w:unhideWhenUsed/>
    <w:qFormat/>
    <w:rsid w:val="00247724"/>
    <w:pPr>
      <w:keepNext/>
      <w:spacing w:before="240" w:after="60"/>
      <w:outlineLvl w:val="1"/>
    </w:pPr>
    <w:rPr>
      <w:rFonts w:asciiTheme="majorHAnsi" w:eastAsiaTheme="majorEastAsia" w:hAnsiTheme="majorHAnsi" w:cstheme="majorBidi"/>
      <w:b/>
      <w:bCs/>
      <w:iCs/>
      <w:sz w:val="40"/>
      <w:szCs w:val="28"/>
    </w:rPr>
  </w:style>
  <w:style w:type="paragraph" w:styleId="Heading3">
    <w:name w:val="heading 3"/>
    <w:basedOn w:val="Normal"/>
    <w:next w:val="Normal"/>
    <w:link w:val="Heading3Char"/>
    <w:uiPriority w:val="9"/>
    <w:unhideWhenUsed/>
    <w:qFormat/>
    <w:rsid w:val="00A713CF"/>
    <w:pPr>
      <w:keepNext/>
      <w:spacing w:before="240" w:after="60"/>
      <w:outlineLvl w:val="2"/>
    </w:pPr>
    <w:rPr>
      <w:rFonts w:asciiTheme="majorHAnsi" w:eastAsiaTheme="majorEastAsia" w:hAnsiTheme="majorHAnsi" w:cstheme="majorBidi"/>
      <w:b/>
      <w:bCs/>
      <w:sz w:val="32"/>
      <w:szCs w:val="26"/>
    </w:rPr>
  </w:style>
  <w:style w:type="paragraph" w:styleId="Heading4">
    <w:name w:val="heading 4"/>
    <w:basedOn w:val="Normal"/>
    <w:next w:val="Normal"/>
    <w:link w:val="Heading4Char"/>
    <w:uiPriority w:val="9"/>
    <w:unhideWhenUsed/>
    <w:qFormat/>
    <w:rsid w:val="00C96F1A"/>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unhideWhenUsed/>
    <w:qFormat/>
    <w:rsid w:val="00C96F1A"/>
    <w:pPr>
      <w:spacing w:before="240" w:after="60"/>
      <w:outlineLvl w:val="4"/>
    </w:pPr>
    <w:rPr>
      <w:rFonts w:cstheme="majorBidi"/>
      <w:b/>
      <w:bCs/>
      <w:i/>
      <w:iCs/>
      <w:sz w:val="26"/>
      <w:szCs w:val="26"/>
    </w:rPr>
  </w:style>
  <w:style w:type="paragraph" w:styleId="Heading6">
    <w:name w:val="heading 6"/>
    <w:basedOn w:val="Normal"/>
    <w:next w:val="Normal"/>
    <w:link w:val="Heading6Char"/>
    <w:uiPriority w:val="9"/>
    <w:unhideWhenUsed/>
    <w:qFormat/>
    <w:rsid w:val="00C96F1A"/>
    <w:pPr>
      <w:spacing w:before="240" w:after="60"/>
      <w:outlineLvl w:val="5"/>
    </w:pPr>
    <w:rPr>
      <w:rFonts w:cstheme="majorBidi"/>
      <w:b/>
      <w:bCs/>
      <w:szCs w:val="22"/>
    </w:rPr>
  </w:style>
  <w:style w:type="paragraph" w:styleId="Heading7">
    <w:name w:val="heading 7"/>
    <w:basedOn w:val="Normal"/>
    <w:next w:val="Normal"/>
    <w:link w:val="Heading7Char"/>
    <w:uiPriority w:val="9"/>
    <w:unhideWhenUsed/>
    <w:qFormat/>
    <w:rsid w:val="00C96F1A"/>
    <w:pPr>
      <w:spacing w:before="240" w:after="60"/>
      <w:outlineLvl w:val="6"/>
    </w:pPr>
    <w:rPr>
      <w:rFonts w:cstheme="majorBidi"/>
    </w:rPr>
  </w:style>
  <w:style w:type="paragraph" w:styleId="Heading8">
    <w:name w:val="heading 8"/>
    <w:basedOn w:val="Normal"/>
    <w:next w:val="Normal"/>
    <w:link w:val="Heading8Char"/>
    <w:uiPriority w:val="9"/>
    <w:unhideWhenUsed/>
    <w:qFormat/>
    <w:rsid w:val="00C96F1A"/>
    <w:pPr>
      <w:spacing w:before="240" w:after="60"/>
      <w:outlineLvl w:val="7"/>
    </w:pPr>
    <w:rPr>
      <w:rFonts w:cstheme="majorBidi"/>
      <w:i/>
      <w:iCs/>
    </w:rPr>
  </w:style>
  <w:style w:type="paragraph" w:styleId="Heading9">
    <w:name w:val="heading 9"/>
    <w:basedOn w:val="Normal"/>
    <w:next w:val="Normal"/>
    <w:link w:val="Heading9Char"/>
    <w:uiPriority w:val="9"/>
    <w:unhideWhenUsed/>
    <w:qFormat/>
    <w:rsid w:val="00C96F1A"/>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pPr>
      <w:spacing w:before="240"/>
    </w:pPr>
    <w:rPr>
      <w:rFonts w:cstheme="minorHAnsi"/>
      <w:b/>
      <w:bCs/>
      <w:sz w:val="20"/>
      <w:szCs w:val="20"/>
    </w:rPr>
  </w:style>
  <w:style w:type="paragraph" w:styleId="TOC2">
    <w:name w:val="toc 2"/>
    <w:basedOn w:val="Normal"/>
    <w:uiPriority w:val="39"/>
    <w:pPr>
      <w:spacing w:after="0"/>
      <w:ind w:left="220"/>
    </w:pPr>
    <w:rPr>
      <w:rFonts w:cstheme="minorHAnsi"/>
      <w:i/>
      <w:iCs/>
      <w:sz w:val="20"/>
      <w:szCs w:val="20"/>
    </w:rPr>
  </w:style>
  <w:style w:type="paragraph" w:styleId="TOC3">
    <w:name w:val="toc 3"/>
    <w:basedOn w:val="Normal"/>
    <w:uiPriority w:val="39"/>
    <w:pPr>
      <w:spacing w:before="0" w:after="0"/>
      <w:ind w:left="440"/>
    </w:pPr>
    <w:rPr>
      <w:rFonts w:cstheme="minorHAnsi"/>
      <w:sz w:val="20"/>
      <w:szCs w:val="20"/>
    </w:rPr>
  </w:style>
  <w:style w:type="paragraph" w:styleId="TOC4">
    <w:name w:val="toc 4"/>
    <w:basedOn w:val="Normal"/>
    <w:uiPriority w:val="39"/>
    <w:pPr>
      <w:spacing w:before="0" w:after="0"/>
      <w:ind w:left="660"/>
    </w:pPr>
    <w:rPr>
      <w:rFonts w:cstheme="minorHAnsi"/>
      <w:sz w:val="20"/>
      <w:szCs w:val="20"/>
    </w:rPr>
  </w:style>
  <w:style w:type="paragraph" w:styleId="BodyText">
    <w:name w:val="Body Text"/>
    <w:basedOn w:val="Normal"/>
    <w:uiPriority w:val="1"/>
    <w:rsid w:val="00AE30A7"/>
    <w:rPr>
      <w:szCs w:val="18"/>
    </w:rPr>
  </w:style>
  <w:style w:type="paragraph" w:styleId="ListParagraph">
    <w:name w:val="List Paragraph"/>
    <w:aliases w:val="Recommendation,List Paragraph1,List Paragraph11,Bullet point,Bulletr List Paragraph,FooterText,L,List Paragraph2,List Paragraph21,Listeafsnit1,NFP GP Bulleted List,Paragraphe de liste1,Parágrafo da Lista1,bullet point list,1 heading,列出段落"/>
    <w:basedOn w:val="Normal"/>
    <w:link w:val="ListParagraphChar"/>
    <w:uiPriority w:val="34"/>
    <w:qFormat/>
    <w:rsid w:val="00A713CF"/>
    <w:pPr>
      <w:ind w:left="720"/>
    </w:pPr>
  </w:style>
  <w:style w:type="paragraph" w:customStyle="1" w:styleId="TableParagraph">
    <w:name w:val="Table Paragraph"/>
    <w:basedOn w:val="Normal"/>
    <w:uiPriority w:val="1"/>
    <w:pPr>
      <w:jc w:val="right"/>
    </w:pPr>
  </w:style>
  <w:style w:type="paragraph" w:styleId="Header">
    <w:name w:val="header"/>
    <w:basedOn w:val="Normal"/>
    <w:link w:val="HeaderChar"/>
    <w:uiPriority w:val="99"/>
    <w:unhideWhenUsed/>
    <w:rsid w:val="00EE15EB"/>
    <w:pPr>
      <w:tabs>
        <w:tab w:val="center" w:pos="4513"/>
        <w:tab w:val="right" w:pos="9026"/>
      </w:tabs>
    </w:pPr>
  </w:style>
  <w:style w:type="character" w:customStyle="1" w:styleId="HeaderChar">
    <w:name w:val="Header Char"/>
    <w:basedOn w:val="DefaultParagraphFont"/>
    <w:link w:val="Header"/>
    <w:uiPriority w:val="99"/>
    <w:rsid w:val="00EE15EB"/>
    <w:rPr>
      <w:rFonts w:ascii="Arial" w:eastAsia="Arial" w:hAnsi="Arial" w:cs="Arial"/>
    </w:rPr>
  </w:style>
  <w:style w:type="paragraph" w:styleId="Footer">
    <w:name w:val="footer"/>
    <w:basedOn w:val="Normal"/>
    <w:link w:val="FooterChar"/>
    <w:uiPriority w:val="99"/>
    <w:unhideWhenUsed/>
    <w:rsid w:val="00EE15EB"/>
    <w:pPr>
      <w:tabs>
        <w:tab w:val="center" w:pos="4513"/>
        <w:tab w:val="right" w:pos="9026"/>
      </w:tabs>
    </w:pPr>
  </w:style>
  <w:style w:type="character" w:customStyle="1" w:styleId="FooterChar">
    <w:name w:val="Footer Char"/>
    <w:basedOn w:val="DefaultParagraphFont"/>
    <w:link w:val="Footer"/>
    <w:uiPriority w:val="99"/>
    <w:rsid w:val="00EE15EB"/>
    <w:rPr>
      <w:rFonts w:ascii="Arial" w:eastAsia="Arial" w:hAnsi="Arial" w:cs="Arial"/>
    </w:rPr>
  </w:style>
  <w:style w:type="character" w:styleId="Hyperlink">
    <w:name w:val="Hyperlink"/>
    <w:basedOn w:val="DefaultParagraphFont"/>
    <w:uiPriority w:val="99"/>
    <w:unhideWhenUsed/>
    <w:rsid w:val="00C96F1A"/>
    <w:rPr>
      <w:color w:val="0563C1" w:themeColor="hyperlink"/>
      <w:u w:val="single"/>
    </w:rPr>
  </w:style>
  <w:style w:type="character" w:customStyle="1" w:styleId="Heading1Char">
    <w:name w:val="Heading 1 Char"/>
    <w:basedOn w:val="DefaultParagraphFont"/>
    <w:link w:val="Heading1"/>
    <w:uiPriority w:val="9"/>
    <w:rsid w:val="00247724"/>
    <w:rPr>
      <w:rFonts w:asciiTheme="majorHAnsi" w:eastAsiaTheme="majorEastAsia" w:hAnsiTheme="majorHAnsi" w:cstheme="majorBidi"/>
      <w:b/>
      <w:bCs/>
      <w:caps/>
      <w:kern w:val="32"/>
      <w:sz w:val="40"/>
      <w:szCs w:val="32"/>
      <w:lang w:val="en-GB"/>
    </w:rPr>
  </w:style>
  <w:style w:type="character" w:customStyle="1" w:styleId="Heading2Char">
    <w:name w:val="Heading 2 Char"/>
    <w:basedOn w:val="DefaultParagraphFont"/>
    <w:link w:val="Heading2"/>
    <w:uiPriority w:val="9"/>
    <w:rsid w:val="00247724"/>
    <w:rPr>
      <w:rFonts w:asciiTheme="majorHAnsi" w:eastAsiaTheme="majorEastAsia" w:hAnsiTheme="majorHAnsi" w:cstheme="majorBidi"/>
      <w:b/>
      <w:bCs/>
      <w:iCs/>
      <w:sz w:val="40"/>
      <w:szCs w:val="28"/>
      <w:lang w:val="en-GB"/>
    </w:rPr>
  </w:style>
  <w:style w:type="character" w:customStyle="1" w:styleId="Heading3Char">
    <w:name w:val="Heading 3 Char"/>
    <w:basedOn w:val="DefaultParagraphFont"/>
    <w:link w:val="Heading3"/>
    <w:uiPriority w:val="9"/>
    <w:rsid w:val="00A713CF"/>
    <w:rPr>
      <w:rFonts w:asciiTheme="majorHAnsi" w:eastAsiaTheme="majorEastAsia" w:hAnsiTheme="majorHAnsi" w:cstheme="majorBidi"/>
      <w:b/>
      <w:bCs/>
      <w:sz w:val="32"/>
      <w:szCs w:val="26"/>
      <w:lang w:val="en-GB"/>
    </w:rPr>
  </w:style>
  <w:style w:type="character" w:customStyle="1" w:styleId="Heading4Char">
    <w:name w:val="Heading 4 Char"/>
    <w:basedOn w:val="DefaultParagraphFont"/>
    <w:link w:val="Heading4"/>
    <w:uiPriority w:val="9"/>
    <w:rsid w:val="00C96F1A"/>
    <w:rPr>
      <w:rFonts w:cstheme="majorBidi"/>
      <w:b/>
      <w:bCs/>
      <w:sz w:val="28"/>
      <w:szCs w:val="28"/>
    </w:rPr>
  </w:style>
  <w:style w:type="character" w:customStyle="1" w:styleId="Heading5Char">
    <w:name w:val="Heading 5 Char"/>
    <w:basedOn w:val="DefaultParagraphFont"/>
    <w:link w:val="Heading5"/>
    <w:uiPriority w:val="9"/>
    <w:rsid w:val="00C96F1A"/>
    <w:rPr>
      <w:rFonts w:cstheme="majorBidi"/>
      <w:b/>
      <w:bCs/>
      <w:i/>
      <w:iCs/>
      <w:sz w:val="26"/>
      <w:szCs w:val="26"/>
    </w:rPr>
  </w:style>
  <w:style w:type="character" w:customStyle="1" w:styleId="Heading6Char">
    <w:name w:val="Heading 6 Char"/>
    <w:basedOn w:val="DefaultParagraphFont"/>
    <w:link w:val="Heading6"/>
    <w:uiPriority w:val="9"/>
    <w:rsid w:val="00C96F1A"/>
    <w:rPr>
      <w:rFonts w:cstheme="majorBidi"/>
      <w:b/>
      <w:bCs/>
    </w:rPr>
  </w:style>
  <w:style w:type="character" w:customStyle="1" w:styleId="Heading7Char">
    <w:name w:val="Heading 7 Char"/>
    <w:basedOn w:val="DefaultParagraphFont"/>
    <w:link w:val="Heading7"/>
    <w:uiPriority w:val="9"/>
    <w:rsid w:val="00C96F1A"/>
    <w:rPr>
      <w:rFonts w:cstheme="majorBidi"/>
      <w:sz w:val="24"/>
      <w:szCs w:val="24"/>
    </w:rPr>
  </w:style>
  <w:style w:type="character" w:customStyle="1" w:styleId="Heading8Char">
    <w:name w:val="Heading 8 Char"/>
    <w:basedOn w:val="DefaultParagraphFont"/>
    <w:link w:val="Heading8"/>
    <w:uiPriority w:val="9"/>
    <w:rsid w:val="00C96F1A"/>
    <w:rPr>
      <w:rFonts w:cstheme="majorBidi"/>
      <w:i/>
      <w:iCs/>
      <w:sz w:val="24"/>
      <w:szCs w:val="24"/>
    </w:rPr>
  </w:style>
  <w:style w:type="character" w:customStyle="1" w:styleId="Heading9Char">
    <w:name w:val="Heading 9 Char"/>
    <w:basedOn w:val="DefaultParagraphFont"/>
    <w:link w:val="Heading9"/>
    <w:uiPriority w:val="9"/>
    <w:rsid w:val="00C96F1A"/>
    <w:rPr>
      <w:rFonts w:asciiTheme="majorHAnsi" w:eastAsiaTheme="majorEastAsia" w:hAnsiTheme="majorHAnsi" w:cstheme="majorBidi"/>
    </w:rPr>
  </w:style>
  <w:style w:type="paragraph" w:styleId="Caption">
    <w:name w:val="caption"/>
    <w:basedOn w:val="Normal"/>
    <w:next w:val="Normal"/>
    <w:uiPriority w:val="35"/>
    <w:semiHidden/>
    <w:unhideWhenUsed/>
    <w:rsid w:val="00C96F1A"/>
    <w:rPr>
      <w:b/>
      <w:bCs/>
      <w:color w:val="ED7D31" w:themeColor="accent2"/>
      <w:spacing w:val="10"/>
      <w:sz w:val="16"/>
      <w:szCs w:val="16"/>
    </w:rPr>
  </w:style>
  <w:style w:type="paragraph" w:styleId="Title">
    <w:name w:val="Title"/>
    <w:basedOn w:val="Normal"/>
    <w:next w:val="Normal"/>
    <w:link w:val="TitleChar"/>
    <w:uiPriority w:val="10"/>
    <w:qFormat/>
    <w:rsid w:val="00C96F1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96F1A"/>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96F1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96F1A"/>
    <w:rPr>
      <w:rFonts w:asciiTheme="majorHAnsi" w:eastAsiaTheme="majorEastAsia" w:hAnsiTheme="majorHAnsi"/>
      <w:sz w:val="24"/>
      <w:szCs w:val="24"/>
    </w:rPr>
  </w:style>
  <w:style w:type="character" w:styleId="Strong">
    <w:name w:val="Strong"/>
    <w:basedOn w:val="DefaultParagraphFont"/>
    <w:uiPriority w:val="22"/>
    <w:qFormat/>
    <w:rsid w:val="00C96F1A"/>
    <w:rPr>
      <w:b/>
      <w:bCs/>
    </w:rPr>
  </w:style>
  <w:style w:type="character" w:styleId="Emphasis">
    <w:name w:val="Emphasis"/>
    <w:basedOn w:val="DefaultParagraphFont"/>
    <w:uiPriority w:val="20"/>
    <w:qFormat/>
    <w:rsid w:val="00C96F1A"/>
    <w:rPr>
      <w:rFonts w:asciiTheme="minorHAnsi" w:hAnsiTheme="minorHAnsi"/>
      <w:b/>
      <w:i/>
      <w:iCs/>
    </w:rPr>
  </w:style>
  <w:style w:type="paragraph" w:styleId="NoSpacing">
    <w:name w:val="No Spacing"/>
    <w:basedOn w:val="Normal"/>
    <w:uiPriority w:val="1"/>
    <w:qFormat/>
    <w:rsid w:val="00C96F1A"/>
    <w:pPr>
      <w:spacing w:before="0" w:after="0"/>
    </w:pPr>
    <w:rPr>
      <w:szCs w:val="32"/>
    </w:rPr>
  </w:style>
  <w:style w:type="paragraph" w:styleId="Quote">
    <w:name w:val="Quote"/>
    <w:basedOn w:val="Normal"/>
    <w:next w:val="Normal"/>
    <w:link w:val="QuoteChar"/>
    <w:uiPriority w:val="29"/>
    <w:qFormat/>
    <w:rsid w:val="00C96F1A"/>
    <w:rPr>
      <w:rFonts w:cstheme="majorBidi"/>
      <w:i/>
    </w:rPr>
  </w:style>
  <w:style w:type="character" w:customStyle="1" w:styleId="QuoteChar">
    <w:name w:val="Quote Char"/>
    <w:basedOn w:val="DefaultParagraphFont"/>
    <w:link w:val="Quote"/>
    <w:uiPriority w:val="29"/>
    <w:rsid w:val="00C96F1A"/>
    <w:rPr>
      <w:rFonts w:cstheme="majorBidi"/>
      <w:i/>
      <w:sz w:val="24"/>
      <w:szCs w:val="24"/>
    </w:rPr>
  </w:style>
  <w:style w:type="paragraph" w:styleId="IntenseQuote">
    <w:name w:val="Intense Quote"/>
    <w:basedOn w:val="Normal"/>
    <w:next w:val="Normal"/>
    <w:link w:val="IntenseQuoteChar"/>
    <w:uiPriority w:val="30"/>
    <w:qFormat/>
    <w:rsid w:val="00C96F1A"/>
    <w:pPr>
      <w:ind w:left="720" w:right="720"/>
    </w:pPr>
    <w:rPr>
      <w:rFonts w:cstheme="majorBidi"/>
      <w:b/>
      <w:i/>
      <w:szCs w:val="22"/>
    </w:rPr>
  </w:style>
  <w:style w:type="character" w:customStyle="1" w:styleId="IntenseQuoteChar">
    <w:name w:val="Intense Quote Char"/>
    <w:basedOn w:val="DefaultParagraphFont"/>
    <w:link w:val="IntenseQuote"/>
    <w:uiPriority w:val="30"/>
    <w:rsid w:val="00C96F1A"/>
    <w:rPr>
      <w:rFonts w:cstheme="majorBidi"/>
      <w:b/>
      <w:i/>
      <w:sz w:val="24"/>
    </w:rPr>
  </w:style>
  <w:style w:type="character" w:styleId="SubtleEmphasis">
    <w:name w:val="Subtle Emphasis"/>
    <w:uiPriority w:val="19"/>
    <w:qFormat/>
    <w:rsid w:val="00C96F1A"/>
    <w:rPr>
      <w:i/>
      <w:color w:val="5A5A5A" w:themeColor="text1" w:themeTint="A5"/>
    </w:rPr>
  </w:style>
  <w:style w:type="character" w:styleId="IntenseEmphasis">
    <w:name w:val="Intense Emphasis"/>
    <w:basedOn w:val="DefaultParagraphFont"/>
    <w:uiPriority w:val="21"/>
    <w:qFormat/>
    <w:rsid w:val="00C96F1A"/>
    <w:rPr>
      <w:b/>
      <w:i/>
      <w:sz w:val="24"/>
      <w:szCs w:val="24"/>
      <w:u w:val="single"/>
    </w:rPr>
  </w:style>
  <w:style w:type="character" w:styleId="SubtleReference">
    <w:name w:val="Subtle Reference"/>
    <w:basedOn w:val="DefaultParagraphFont"/>
    <w:uiPriority w:val="31"/>
    <w:qFormat/>
    <w:rsid w:val="00C96F1A"/>
    <w:rPr>
      <w:sz w:val="24"/>
      <w:szCs w:val="24"/>
      <w:u w:val="single"/>
    </w:rPr>
  </w:style>
  <w:style w:type="character" w:styleId="IntenseReference">
    <w:name w:val="Intense Reference"/>
    <w:basedOn w:val="DefaultParagraphFont"/>
    <w:uiPriority w:val="32"/>
    <w:qFormat/>
    <w:rsid w:val="00C96F1A"/>
    <w:rPr>
      <w:b/>
      <w:sz w:val="24"/>
      <w:u w:val="single"/>
    </w:rPr>
  </w:style>
  <w:style w:type="character" w:styleId="BookTitle">
    <w:name w:val="Book Title"/>
    <w:basedOn w:val="DefaultParagraphFont"/>
    <w:uiPriority w:val="33"/>
    <w:qFormat/>
    <w:rsid w:val="00C96F1A"/>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C96F1A"/>
    <w:pPr>
      <w:outlineLvl w:val="9"/>
    </w:pPr>
  </w:style>
  <w:style w:type="character" w:customStyle="1" w:styleId="ListParagraphChar">
    <w:name w:val="List Paragraph Char"/>
    <w:aliases w:val="Recommendation Char,List Paragraph1 Char,List Paragraph11 Char,Bullet point Char,Bulletr List Paragraph Char,FooterText Char,L Char,List Paragraph2 Char,List Paragraph21 Char,Listeafsnit1 Char,NFP GP Bulleted List Char,1 heading Char"/>
    <w:basedOn w:val="DefaultParagraphFont"/>
    <w:link w:val="ListParagraph"/>
    <w:uiPriority w:val="34"/>
    <w:rsid w:val="00C92228"/>
    <w:rPr>
      <w:szCs w:val="24"/>
      <w:lang w:val="en-GB"/>
    </w:rPr>
  </w:style>
  <w:style w:type="paragraph" w:customStyle="1" w:styleId="NoteIndent">
    <w:name w:val="Note Indent"/>
    <w:basedOn w:val="Normal"/>
    <w:uiPriority w:val="22"/>
    <w:qFormat/>
    <w:rsid w:val="00C92228"/>
    <w:pPr>
      <w:numPr>
        <w:numId w:val="22"/>
      </w:numPr>
      <w:tabs>
        <w:tab w:val="left" w:pos="357"/>
      </w:tabs>
      <w:spacing w:before="60" w:after="60" w:line="264" w:lineRule="auto"/>
    </w:pPr>
    <w:rPr>
      <w:rFonts w:ascii="Arial" w:eastAsiaTheme="minorHAnsi" w:hAnsi="Arial" w:cstheme="minorBidi"/>
      <w:sz w:val="16"/>
      <w:szCs w:val="18"/>
      <w:lang w:val="en-AU"/>
    </w:rPr>
  </w:style>
  <w:style w:type="paragraph" w:customStyle="1" w:styleId="TableTextHeading">
    <w:name w:val="Table Text Heading"/>
    <w:basedOn w:val="Normal"/>
    <w:uiPriority w:val="13"/>
    <w:qFormat/>
    <w:rsid w:val="00C92228"/>
    <w:pPr>
      <w:spacing w:before="60" w:after="60" w:line="264" w:lineRule="auto"/>
      <w:jc w:val="center"/>
    </w:pPr>
    <w:rPr>
      <w:rFonts w:ascii="Arial" w:eastAsiaTheme="minorHAnsi" w:hAnsi="Arial" w:cstheme="minorBidi"/>
      <w:b/>
      <w:sz w:val="19"/>
      <w:szCs w:val="18"/>
      <w:lang w:val="en-AU"/>
    </w:rPr>
  </w:style>
  <w:style w:type="paragraph" w:customStyle="1" w:styleId="TableText">
    <w:name w:val="Table Text"/>
    <w:basedOn w:val="Normal"/>
    <w:uiPriority w:val="14"/>
    <w:rsid w:val="00C92228"/>
    <w:pPr>
      <w:spacing w:before="60" w:after="60" w:line="264" w:lineRule="auto"/>
    </w:pPr>
    <w:rPr>
      <w:rFonts w:ascii="Arial" w:eastAsiaTheme="minorHAnsi" w:hAnsi="Arial" w:cstheme="minorBidi"/>
      <w:sz w:val="19"/>
      <w:szCs w:val="18"/>
      <w:lang w:val="en-AU"/>
    </w:rPr>
  </w:style>
  <w:style w:type="paragraph" w:customStyle="1" w:styleId="TableTextRight">
    <w:name w:val="Table Text Right"/>
    <w:basedOn w:val="Normal"/>
    <w:uiPriority w:val="16"/>
    <w:qFormat/>
    <w:rsid w:val="00C92228"/>
    <w:pPr>
      <w:spacing w:before="60" w:after="60" w:line="264" w:lineRule="auto"/>
      <w:jc w:val="right"/>
    </w:pPr>
    <w:rPr>
      <w:rFonts w:ascii="Arial" w:eastAsiaTheme="minorHAnsi" w:hAnsi="Arial" w:cstheme="minorBidi"/>
      <w:sz w:val="19"/>
      <w:szCs w:val="18"/>
      <w:lang w:val="en-AU"/>
    </w:rPr>
  </w:style>
  <w:style w:type="paragraph" w:customStyle="1" w:styleId="TableTextBold">
    <w:name w:val="Table Text Bold"/>
    <w:basedOn w:val="Normal"/>
    <w:uiPriority w:val="17"/>
    <w:qFormat/>
    <w:rsid w:val="00C92228"/>
    <w:pPr>
      <w:spacing w:before="60" w:after="60" w:line="264" w:lineRule="auto"/>
    </w:pPr>
    <w:rPr>
      <w:rFonts w:ascii="Arial" w:eastAsiaTheme="minorHAnsi" w:hAnsi="Arial" w:cstheme="minorBidi"/>
      <w:b/>
      <w:sz w:val="19"/>
      <w:szCs w:val="18"/>
      <w:lang w:val="en-AU"/>
    </w:rPr>
  </w:style>
  <w:style w:type="character" w:customStyle="1" w:styleId="Italics">
    <w:name w:val="Italics"/>
    <w:basedOn w:val="DefaultParagraphFont"/>
    <w:uiPriority w:val="1"/>
    <w:qFormat/>
    <w:rsid w:val="00C92228"/>
    <w:rPr>
      <w:i/>
    </w:rPr>
  </w:style>
  <w:style w:type="table" w:styleId="TableGrid">
    <w:name w:val="Table Grid"/>
    <w:basedOn w:val="TableNormal"/>
    <w:uiPriority w:val="39"/>
    <w:rsid w:val="002D5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Italics">
    <w:name w:val="Table Text Italics"/>
    <w:basedOn w:val="TableText"/>
    <w:uiPriority w:val="18"/>
    <w:rsid w:val="00BD5DDA"/>
  </w:style>
  <w:style w:type="paragraph" w:customStyle="1" w:styleId="Tabletextindent">
    <w:name w:val="Table text indent"/>
    <w:basedOn w:val="Normal"/>
    <w:uiPriority w:val="14"/>
    <w:qFormat/>
    <w:rsid w:val="00BD5DDA"/>
    <w:pPr>
      <w:spacing w:before="60" w:after="60" w:line="264" w:lineRule="auto"/>
      <w:ind w:left="357"/>
    </w:pPr>
    <w:rPr>
      <w:rFonts w:ascii="Arial" w:eastAsiaTheme="minorHAnsi" w:hAnsi="Arial" w:cstheme="minorBidi"/>
      <w:sz w:val="19"/>
      <w:szCs w:val="18"/>
      <w:lang w:val="en-AU"/>
    </w:rPr>
  </w:style>
  <w:style w:type="paragraph" w:styleId="FootnoteText">
    <w:name w:val="footnote text"/>
    <w:basedOn w:val="Normal"/>
    <w:link w:val="FootnoteTextChar"/>
    <w:uiPriority w:val="99"/>
    <w:semiHidden/>
    <w:unhideWhenUsed/>
    <w:rsid w:val="00704D55"/>
    <w:pPr>
      <w:spacing w:before="0" w:after="0"/>
    </w:pPr>
    <w:rPr>
      <w:sz w:val="20"/>
      <w:szCs w:val="20"/>
    </w:rPr>
  </w:style>
  <w:style w:type="character" w:customStyle="1" w:styleId="FootnoteTextChar">
    <w:name w:val="Footnote Text Char"/>
    <w:basedOn w:val="DefaultParagraphFont"/>
    <w:link w:val="FootnoteText"/>
    <w:uiPriority w:val="99"/>
    <w:semiHidden/>
    <w:rsid w:val="00704D55"/>
    <w:rPr>
      <w:sz w:val="20"/>
      <w:szCs w:val="20"/>
      <w:lang w:val="en-GB"/>
    </w:rPr>
  </w:style>
  <w:style w:type="table" w:customStyle="1" w:styleId="TableGrid1">
    <w:name w:val="Table Grid1"/>
    <w:basedOn w:val="TableNormal"/>
    <w:next w:val="TableGrid"/>
    <w:uiPriority w:val="39"/>
    <w:rsid w:val="00704D55"/>
    <w:rPr>
      <w:rFonts w:eastAsia="Calibri"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704D55"/>
    <w:rPr>
      <w:vertAlign w:val="superscript"/>
    </w:rPr>
  </w:style>
  <w:style w:type="paragraph" w:customStyle="1" w:styleId="Pa2">
    <w:name w:val="Pa2"/>
    <w:basedOn w:val="Normal"/>
    <w:next w:val="Normal"/>
    <w:uiPriority w:val="99"/>
    <w:rsid w:val="00FC4865"/>
    <w:pPr>
      <w:autoSpaceDE w:val="0"/>
      <w:autoSpaceDN w:val="0"/>
      <w:adjustRightInd w:val="0"/>
      <w:spacing w:before="0" w:after="0" w:line="181" w:lineRule="atLeast"/>
    </w:pPr>
    <w:rPr>
      <w:rFonts w:ascii="MetaNormalLF-Roman" w:hAnsi="MetaNormalLF-Roman"/>
      <w:sz w:val="24"/>
      <w:lang w:val="en-AU"/>
    </w:rPr>
  </w:style>
  <w:style w:type="character" w:customStyle="1" w:styleId="Bold">
    <w:name w:val="Bold"/>
    <w:basedOn w:val="DefaultParagraphFont"/>
    <w:uiPriority w:val="1"/>
    <w:qFormat/>
    <w:rsid w:val="00677265"/>
    <w:rPr>
      <w:b/>
    </w:rPr>
  </w:style>
  <w:style w:type="paragraph" w:customStyle="1" w:styleId="Pa57">
    <w:name w:val="Pa57"/>
    <w:basedOn w:val="Normal"/>
    <w:next w:val="Normal"/>
    <w:uiPriority w:val="99"/>
    <w:rsid w:val="00677265"/>
    <w:pPr>
      <w:autoSpaceDE w:val="0"/>
      <w:autoSpaceDN w:val="0"/>
      <w:adjustRightInd w:val="0"/>
      <w:spacing w:before="0" w:after="0" w:line="141" w:lineRule="atLeast"/>
    </w:pPr>
    <w:rPr>
      <w:rFonts w:ascii="MetaNormalLF-Italic" w:hAnsi="MetaNormalLF-Italic"/>
      <w:sz w:val="24"/>
      <w:lang w:val="en-AU"/>
    </w:rPr>
  </w:style>
  <w:style w:type="paragraph" w:customStyle="1" w:styleId="Default">
    <w:name w:val="Default"/>
    <w:rsid w:val="00694D7C"/>
    <w:pPr>
      <w:autoSpaceDE w:val="0"/>
      <w:autoSpaceDN w:val="0"/>
      <w:adjustRightInd w:val="0"/>
    </w:pPr>
    <w:rPr>
      <w:rFonts w:ascii="MetaNormalLF-Roman" w:hAnsi="MetaNormalLF-Roman" w:cs="MetaNormalLF-Roman"/>
      <w:color w:val="000000"/>
      <w:sz w:val="24"/>
      <w:szCs w:val="24"/>
      <w:lang w:val="en-AU"/>
    </w:rPr>
  </w:style>
  <w:style w:type="paragraph" w:customStyle="1" w:styleId="Pa5">
    <w:name w:val="Pa5"/>
    <w:basedOn w:val="Default"/>
    <w:next w:val="Default"/>
    <w:uiPriority w:val="99"/>
    <w:rsid w:val="00694D7C"/>
    <w:pPr>
      <w:spacing w:line="261" w:lineRule="atLeast"/>
    </w:pPr>
    <w:rPr>
      <w:rFonts w:cs="Times New Roman"/>
      <w:color w:val="auto"/>
    </w:rPr>
  </w:style>
  <w:style w:type="paragraph" w:customStyle="1" w:styleId="Pa61">
    <w:name w:val="Pa61"/>
    <w:basedOn w:val="Default"/>
    <w:next w:val="Default"/>
    <w:uiPriority w:val="99"/>
    <w:rsid w:val="001224D0"/>
    <w:pPr>
      <w:spacing w:line="141" w:lineRule="atLeast"/>
    </w:pPr>
    <w:rPr>
      <w:rFonts w:ascii="MetaNormalLF-Italic" w:hAnsi="MetaNormalLF-Italic" w:cs="Times New Roman"/>
      <w:color w:val="auto"/>
    </w:rPr>
  </w:style>
  <w:style w:type="character" w:customStyle="1" w:styleId="A5">
    <w:name w:val="A5"/>
    <w:uiPriority w:val="99"/>
    <w:rsid w:val="009A7A10"/>
    <w:rPr>
      <w:rFonts w:cs="MetaNormalLF-Roman"/>
      <w:color w:val="403F41"/>
      <w:sz w:val="16"/>
      <w:szCs w:val="16"/>
    </w:rPr>
  </w:style>
  <w:style w:type="paragraph" w:customStyle="1" w:styleId="Pa56">
    <w:name w:val="Pa56"/>
    <w:basedOn w:val="Default"/>
    <w:next w:val="Default"/>
    <w:uiPriority w:val="99"/>
    <w:rsid w:val="007B50F7"/>
    <w:pPr>
      <w:spacing w:line="181" w:lineRule="atLeast"/>
    </w:pPr>
    <w:rPr>
      <w:rFonts w:cs="Times New Roman"/>
      <w:color w:val="auto"/>
    </w:rPr>
  </w:style>
  <w:style w:type="paragraph" w:customStyle="1" w:styleId="Pa12">
    <w:name w:val="Pa12"/>
    <w:basedOn w:val="Default"/>
    <w:next w:val="Default"/>
    <w:uiPriority w:val="99"/>
    <w:rsid w:val="009B2AB5"/>
    <w:pPr>
      <w:spacing w:line="181" w:lineRule="atLeast"/>
    </w:pPr>
    <w:rPr>
      <w:rFonts w:cs="Times New Roman"/>
      <w:color w:val="auto"/>
    </w:rPr>
  </w:style>
  <w:style w:type="paragraph" w:customStyle="1" w:styleId="Pa37">
    <w:name w:val="Pa37"/>
    <w:basedOn w:val="Default"/>
    <w:next w:val="Default"/>
    <w:uiPriority w:val="99"/>
    <w:rsid w:val="00EF541B"/>
    <w:pPr>
      <w:spacing w:line="181" w:lineRule="atLeast"/>
    </w:pPr>
    <w:rPr>
      <w:rFonts w:cs="Times New Roman"/>
      <w:color w:val="auto"/>
    </w:rPr>
  </w:style>
  <w:style w:type="character" w:styleId="FollowedHyperlink">
    <w:name w:val="FollowedHyperlink"/>
    <w:basedOn w:val="DefaultParagraphFont"/>
    <w:uiPriority w:val="99"/>
    <w:semiHidden/>
    <w:unhideWhenUsed/>
    <w:rsid w:val="007829DC"/>
    <w:rPr>
      <w:color w:val="954F72" w:themeColor="followedHyperlink"/>
      <w:u w:val="single"/>
    </w:rPr>
  </w:style>
  <w:style w:type="paragraph" w:styleId="TOC5">
    <w:name w:val="toc 5"/>
    <w:basedOn w:val="Normal"/>
    <w:next w:val="Normal"/>
    <w:autoRedefine/>
    <w:uiPriority w:val="39"/>
    <w:unhideWhenUsed/>
    <w:rsid w:val="00835AA7"/>
    <w:pPr>
      <w:spacing w:before="0" w:after="0"/>
      <w:ind w:left="880"/>
    </w:pPr>
    <w:rPr>
      <w:rFonts w:cstheme="minorHAnsi"/>
      <w:sz w:val="20"/>
      <w:szCs w:val="20"/>
    </w:rPr>
  </w:style>
  <w:style w:type="paragraph" w:styleId="TOC6">
    <w:name w:val="toc 6"/>
    <w:basedOn w:val="Normal"/>
    <w:next w:val="Normal"/>
    <w:autoRedefine/>
    <w:uiPriority w:val="39"/>
    <w:unhideWhenUsed/>
    <w:rsid w:val="00835AA7"/>
    <w:pPr>
      <w:spacing w:before="0" w:after="0"/>
      <w:ind w:left="1100"/>
    </w:pPr>
    <w:rPr>
      <w:rFonts w:cstheme="minorHAnsi"/>
      <w:sz w:val="20"/>
      <w:szCs w:val="20"/>
    </w:rPr>
  </w:style>
  <w:style w:type="paragraph" w:styleId="TOC7">
    <w:name w:val="toc 7"/>
    <w:basedOn w:val="Normal"/>
    <w:next w:val="Normal"/>
    <w:autoRedefine/>
    <w:uiPriority w:val="39"/>
    <w:unhideWhenUsed/>
    <w:rsid w:val="00835AA7"/>
    <w:pPr>
      <w:spacing w:before="0" w:after="0"/>
      <w:ind w:left="1320"/>
    </w:pPr>
    <w:rPr>
      <w:rFonts w:cstheme="minorHAnsi"/>
      <w:sz w:val="20"/>
      <w:szCs w:val="20"/>
    </w:rPr>
  </w:style>
  <w:style w:type="paragraph" w:styleId="TOC8">
    <w:name w:val="toc 8"/>
    <w:basedOn w:val="Normal"/>
    <w:next w:val="Normal"/>
    <w:autoRedefine/>
    <w:uiPriority w:val="39"/>
    <w:unhideWhenUsed/>
    <w:rsid w:val="00835AA7"/>
    <w:pPr>
      <w:spacing w:before="0" w:after="0"/>
      <w:ind w:left="1540"/>
    </w:pPr>
    <w:rPr>
      <w:rFonts w:cstheme="minorHAnsi"/>
      <w:sz w:val="20"/>
      <w:szCs w:val="20"/>
    </w:rPr>
  </w:style>
  <w:style w:type="paragraph" w:styleId="TOC9">
    <w:name w:val="toc 9"/>
    <w:basedOn w:val="Normal"/>
    <w:next w:val="Normal"/>
    <w:autoRedefine/>
    <w:uiPriority w:val="39"/>
    <w:unhideWhenUsed/>
    <w:rsid w:val="00835AA7"/>
    <w:pPr>
      <w:spacing w:before="0" w:after="0"/>
      <w:ind w:left="1760"/>
    </w:pPr>
    <w:rPr>
      <w:rFonts w:cstheme="minorHAnsi"/>
      <w:sz w:val="20"/>
      <w:szCs w:val="20"/>
    </w:rPr>
  </w:style>
  <w:style w:type="character" w:styleId="UnresolvedMention">
    <w:name w:val="Unresolved Mention"/>
    <w:basedOn w:val="DefaultParagraphFont"/>
    <w:uiPriority w:val="99"/>
    <w:semiHidden/>
    <w:unhideWhenUsed/>
    <w:rsid w:val="00835AA7"/>
    <w:rPr>
      <w:color w:val="808080"/>
      <w:shd w:val="clear" w:color="auto" w:fill="E6E6E6"/>
    </w:rPr>
  </w:style>
  <w:style w:type="paragraph" w:customStyle="1" w:styleId="Pa77">
    <w:name w:val="Pa77"/>
    <w:basedOn w:val="Default"/>
    <w:next w:val="Default"/>
    <w:uiPriority w:val="99"/>
    <w:rsid w:val="00DA0EC5"/>
    <w:pPr>
      <w:spacing w:line="221" w:lineRule="atLeast"/>
    </w:pPr>
    <w:rPr>
      <w:rFonts w:ascii="MetaBoldLF-Roman" w:hAnsi="MetaBoldLF-Roman" w:cs="Times New Roman"/>
      <w:color w:val="auto"/>
    </w:rPr>
  </w:style>
  <w:style w:type="paragraph" w:customStyle="1" w:styleId="Pa78">
    <w:name w:val="Pa78"/>
    <w:basedOn w:val="Default"/>
    <w:next w:val="Default"/>
    <w:uiPriority w:val="99"/>
    <w:rsid w:val="00DA0EC5"/>
    <w:pPr>
      <w:spacing w:line="201" w:lineRule="atLeast"/>
    </w:pPr>
    <w:rPr>
      <w:rFonts w:ascii="MetaBoldLF-Roman" w:hAnsi="MetaBoldLF-Roman" w:cs="Times New Roman"/>
      <w:color w:val="auto"/>
    </w:rPr>
  </w:style>
  <w:style w:type="paragraph" w:customStyle="1" w:styleId="Pa79">
    <w:name w:val="Pa79"/>
    <w:basedOn w:val="Default"/>
    <w:next w:val="Default"/>
    <w:uiPriority w:val="99"/>
    <w:rsid w:val="00DA0EC5"/>
    <w:pPr>
      <w:spacing w:line="161" w:lineRule="atLeast"/>
    </w:pPr>
    <w:rPr>
      <w:rFonts w:ascii="MetaBoldLF-Roman" w:hAnsi="MetaBoldLF-Roman" w:cs="Times New Roman"/>
      <w:color w:val="auto"/>
    </w:rPr>
  </w:style>
  <w:style w:type="paragraph" w:customStyle="1" w:styleId="Pa80">
    <w:name w:val="Pa80"/>
    <w:basedOn w:val="Default"/>
    <w:next w:val="Default"/>
    <w:uiPriority w:val="99"/>
    <w:rsid w:val="00DA0EC5"/>
    <w:pPr>
      <w:spacing w:line="221" w:lineRule="atLeast"/>
    </w:pPr>
    <w:rPr>
      <w:rFonts w:ascii="MetaBoldLF-Roman" w:hAnsi="MetaBoldLF-Roman" w:cs="Times New Roman"/>
      <w:color w:val="auto"/>
    </w:rPr>
  </w:style>
  <w:style w:type="paragraph" w:customStyle="1" w:styleId="Addressess">
    <w:name w:val="Addressess"/>
    <w:basedOn w:val="Normal"/>
    <w:link w:val="AddressessChar"/>
    <w:qFormat/>
    <w:rsid w:val="009452A5"/>
    <w:pPr>
      <w:autoSpaceDE w:val="0"/>
      <w:autoSpaceDN w:val="0"/>
      <w:adjustRightInd w:val="0"/>
      <w:spacing w:before="0"/>
      <w:contextualSpacing/>
    </w:pPr>
    <w:rPr>
      <w:rFonts w:ascii="Arial" w:hAnsi="Arial" w:cs="MetaNormalLF-Roman"/>
      <w:color w:val="404041"/>
      <w:sz w:val="20"/>
      <w:szCs w:val="16"/>
      <w:lang w:val="en-AU"/>
    </w:rPr>
  </w:style>
  <w:style w:type="paragraph" w:customStyle="1" w:styleId="Add-Officename">
    <w:name w:val="Add - Office name"/>
    <w:basedOn w:val="Heading6"/>
    <w:link w:val="Add-OfficenameChar"/>
    <w:qFormat/>
    <w:rsid w:val="009452A5"/>
    <w:rPr>
      <w:sz w:val="20"/>
      <w:lang w:val="en-AU"/>
    </w:rPr>
  </w:style>
  <w:style w:type="character" w:customStyle="1" w:styleId="AddressessChar">
    <w:name w:val="Addressess Char"/>
    <w:basedOn w:val="DefaultParagraphFont"/>
    <w:link w:val="Addressess"/>
    <w:rsid w:val="009452A5"/>
    <w:rPr>
      <w:rFonts w:ascii="Arial" w:hAnsi="Arial" w:cs="MetaNormalLF-Roman"/>
      <w:color w:val="404041"/>
      <w:sz w:val="20"/>
      <w:szCs w:val="16"/>
      <w:lang w:val="en-AU"/>
    </w:rPr>
  </w:style>
  <w:style w:type="paragraph" w:customStyle="1" w:styleId="Add-Regions">
    <w:name w:val="Add - Regions"/>
    <w:basedOn w:val="Add-Officename"/>
    <w:link w:val="Add-RegionsChar"/>
    <w:qFormat/>
    <w:rsid w:val="007145CA"/>
    <w:rPr>
      <w:caps/>
      <w:sz w:val="24"/>
      <w:szCs w:val="24"/>
    </w:rPr>
  </w:style>
  <w:style w:type="character" w:customStyle="1" w:styleId="Add-OfficenameChar">
    <w:name w:val="Add - Office name Char"/>
    <w:basedOn w:val="Heading6Char"/>
    <w:link w:val="Add-Officename"/>
    <w:rsid w:val="009452A5"/>
    <w:rPr>
      <w:rFonts w:cstheme="majorBidi"/>
      <w:b/>
      <w:bCs/>
      <w:sz w:val="20"/>
      <w:lang w:val="en-AU"/>
    </w:rPr>
  </w:style>
  <w:style w:type="paragraph" w:customStyle="1" w:styleId="Add-type">
    <w:name w:val="Add - type"/>
    <w:basedOn w:val="Add-Officename"/>
    <w:link w:val="Add-typeChar"/>
    <w:qFormat/>
    <w:rsid w:val="008D292C"/>
    <w:rPr>
      <w:u w:val="single"/>
    </w:rPr>
  </w:style>
  <w:style w:type="character" w:customStyle="1" w:styleId="Add-RegionsChar">
    <w:name w:val="Add - Regions Char"/>
    <w:basedOn w:val="Add-OfficenameChar"/>
    <w:link w:val="Add-Regions"/>
    <w:rsid w:val="007145CA"/>
    <w:rPr>
      <w:rFonts w:cstheme="majorBidi"/>
      <w:b/>
      <w:bCs/>
      <w:caps/>
      <w:sz w:val="24"/>
      <w:szCs w:val="24"/>
      <w:lang w:val="en-AU"/>
    </w:rPr>
  </w:style>
  <w:style w:type="paragraph" w:styleId="BalloonText">
    <w:name w:val="Balloon Text"/>
    <w:basedOn w:val="Normal"/>
    <w:link w:val="BalloonTextChar"/>
    <w:uiPriority w:val="99"/>
    <w:semiHidden/>
    <w:unhideWhenUsed/>
    <w:rsid w:val="005C79CF"/>
    <w:pPr>
      <w:spacing w:before="0" w:after="0"/>
    </w:pPr>
    <w:rPr>
      <w:rFonts w:ascii="Segoe UI" w:hAnsi="Segoe UI" w:cs="Segoe UI"/>
      <w:sz w:val="18"/>
      <w:szCs w:val="18"/>
    </w:rPr>
  </w:style>
  <w:style w:type="character" w:customStyle="1" w:styleId="Add-typeChar">
    <w:name w:val="Add - type Char"/>
    <w:basedOn w:val="Add-OfficenameChar"/>
    <w:link w:val="Add-type"/>
    <w:rsid w:val="008D292C"/>
    <w:rPr>
      <w:rFonts w:cstheme="majorBidi"/>
      <w:b/>
      <w:bCs/>
      <w:sz w:val="20"/>
      <w:u w:val="single"/>
      <w:lang w:val="en-AU"/>
    </w:rPr>
  </w:style>
  <w:style w:type="character" w:customStyle="1" w:styleId="BalloonTextChar">
    <w:name w:val="Balloon Text Char"/>
    <w:basedOn w:val="DefaultParagraphFont"/>
    <w:link w:val="BalloonText"/>
    <w:uiPriority w:val="99"/>
    <w:semiHidden/>
    <w:rsid w:val="005C79CF"/>
    <w:rPr>
      <w:rFonts w:ascii="Segoe UI" w:hAnsi="Segoe UI" w:cs="Segoe UI"/>
      <w:sz w:val="18"/>
      <w:szCs w:val="18"/>
      <w:lang w:val="en-GB"/>
    </w:rPr>
  </w:style>
  <w:style w:type="paragraph" w:customStyle="1" w:styleId="Text">
    <w:name w:val="Text"/>
    <w:basedOn w:val="Normal"/>
    <w:rsid w:val="00A6311B"/>
    <w:rPr>
      <w:rFonts w:ascii="Arial" w:eastAsia="Times New Roman" w:hAnsi="Arial"/>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421609">
      <w:bodyDiv w:val="1"/>
      <w:marLeft w:val="0"/>
      <w:marRight w:val="0"/>
      <w:marTop w:val="0"/>
      <w:marBottom w:val="0"/>
      <w:divBdr>
        <w:top w:val="none" w:sz="0" w:space="0" w:color="auto"/>
        <w:left w:val="none" w:sz="0" w:space="0" w:color="auto"/>
        <w:bottom w:val="none" w:sz="0" w:space="0" w:color="auto"/>
        <w:right w:val="none" w:sz="0" w:space="0" w:color="auto"/>
      </w:divBdr>
    </w:div>
    <w:div w:id="312872750">
      <w:bodyDiv w:val="1"/>
      <w:marLeft w:val="0"/>
      <w:marRight w:val="0"/>
      <w:marTop w:val="0"/>
      <w:marBottom w:val="0"/>
      <w:divBdr>
        <w:top w:val="none" w:sz="0" w:space="0" w:color="auto"/>
        <w:left w:val="none" w:sz="0" w:space="0" w:color="auto"/>
        <w:bottom w:val="none" w:sz="0" w:space="0" w:color="auto"/>
        <w:right w:val="none" w:sz="0" w:space="0" w:color="auto"/>
      </w:divBdr>
    </w:div>
    <w:div w:id="465467052">
      <w:bodyDiv w:val="1"/>
      <w:marLeft w:val="0"/>
      <w:marRight w:val="0"/>
      <w:marTop w:val="0"/>
      <w:marBottom w:val="0"/>
      <w:divBdr>
        <w:top w:val="none" w:sz="0" w:space="0" w:color="auto"/>
        <w:left w:val="none" w:sz="0" w:space="0" w:color="auto"/>
        <w:bottom w:val="none" w:sz="0" w:space="0" w:color="auto"/>
        <w:right w:val="none" w:sz="0" w:space="0" w:color="auto"/>
      </w:divBdr>
    </w:div>
    <w:div w:id="1559130182">
      <w:bodyDiv w:val="1"/>
      <w:marLeft w:val="0"/>
      <w:marRight w:val="0"/>
      <w:marTop w:val="0"/>
      <w:marBottom w:val="0"/>
      <w:divBdr>
        <w:top w:val="none" w:sz="0" w:space="0" w:color="auto"/>
        <w:left w:val="none" w:sz="0" w:space="0" w:color="auto"/>
        <w:bottom w:val="none" w:sz="0" w:space="0" w:color="auto"/>
        <w:right w:val="none" w:sz="0" w:space="0" w:color="auto"/>
      </w:divBdr>
    </w:div>
    <w:div w:id="1563324926">
      <w:bodyDiv w:val="1"/>
      <w:marLeft w:val="0"/>
      <w:marRight w:val="0"/>
      <w:marTop w:val="0"/>
      <w:marBottom w:val="0"/>
      <w:divBdr>
        <w:top w:val="none" w:sz="0" w:space="0" w:color="auto"/>
        <w:left w:val="none" w:sz="0" w:space="0" w:color="auto"/>
        <w:bottom w:val="none" w:sz="0" w:space="0" w:color="auto"/>
        <w:right w:val="none" w:sz="0" w:space="0" w:color="auto"/>
      </w:divBdr>
    </w:div>
    <w:div w:id="1682587221">
      <w:bodyDiv w:val="1"/>
      <w:marLeft w:val="0"/>
      <w:marRight w:val="0"/>
      <w:marTop w:val="0"/>
      <w:marBottom w:val="0"/>
      <w:divBdr>
        <w:top w:val="none" w:sz="0" w:space="0" w:color="auto"/>
        <w:left w:val="none" w:sz="0" w:space="0" w:color="auto"/>
        <w:bottom w:val="none" w:sz="0" w:space="0" w:color="auto"/>
        <w:right w:val="none" w:sz="0" w:space="0" w:color="auto"/>
      </w:divBdr>
    </w:div>
    <w:div w:id="2041542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qld.gov.au/languages" TargetMode="External"/><Relationship Id="rId18" Type="http://schemas.openxmlformats.org/officeDocument/2006/relationships/hyperlink" Target="http://www.hpw.qld.gov.au/aboutus/ReportsPublications" TargetMode="External"/><Relationship Id="rId26" Type="http://schemas.openxmlformats.org/officeDocument/2006/relationships/hyperlink" Target="http://www.hpw.qld.gov.au/"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creativecommons.org/licenses/by/4.0/" TargetMode="External"/><Relationship Id="rId25" Type="http://schemas.openxmlformats.org/officeDocument/2006/relationships/footer" Target="footer8.xml"/><Relationship Id="rId33" Type="http://schemas.openxmlformats.org/officeDocument/2006/relationships/hyperlink" Target="http://www.hpw.qld.gov.au/aboutus/ReportsPublications/AnnualReports/Pages/default.aspx"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3.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yperlink" Target="http://www.hpw.qld.gov.au/aboutus/ReportsPublications/AnnualReports/Pages/default.aspx" TargetMode="External"/><Relationship Id="rId5" Type="http://schemas.openxmlformats.org/officeDocument/2006/relationships/numbering" Target="numbering.xml"/><Relationship Id="rId15" Type="http://schemas.openxmlformats.org/officeDocument/2006/relationships/hyperlink" Target="http://www.hpw.qld.gov.au/" TargetMode="External"/><Relationship Id="rId23" Type="http://schemas.openxmlformats.org/officeDocument/2006/relationships/footer" Target="footer6.xml"/><Relationship Id="rId28" Type="http://schemas.openxmlformats.org/officeDocument/2006/relationships/hyperlink" Target="mailto:townsvillehsc@hpw.qld.gov.au" TargetMode="External"/><Relationship Id="rId10" Type="http://schemas.openxmlformats.org/officeDocument/2006/relationships/endnotes" Target="endnotes.xml"/><Relationship Id="rId19" Type="http://schemas.openxmlformats.org/officeDocument/2006/relationships/hyperlink" Target="mailto:COR.GPP@hpw.qld.gov.au" TargetMode="External"/><Relationship Id="rId31" Type="http://schemas.openxmlformats.org/officeDocument/2006/relationships/hyperlink" Target="http://www.hpw.qld.gov.au/aboutus/ReportsPublications/AnnualReports/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5.xml"/><Relationship Id="rId27" Type="http://schemas.openxmlformats.org/officeDocument/2006/relationships/hyperlink" Target="mailto:ICCHousingEnquiries@smartservice.qld.gov.au" TargetMode="External"/><Relationship Id="rId30" Type="http://schemas.openxmlformats.org/officeDocument/2006/relationships/footer" Target="footer9.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ource xmlns="http://schemas.microsoft.com/sharepoint/v3/fields" xsi:nil="true"/>
    <Security xmlns="726603ff-323f-461b-beba-bdd911713299">Public</Security>
    <Rights xmlns="726603ff-323f-461b-beba-bdd911713299">State of Queensland (Department of Housing and Public Works)</Rights>
    <Creator xmlns="726603ff-323f-461b-beba-bdd911713299" xsi:nil="true"/>
    <_DCDateModified xmlns="http://schemas.microsoft.com/sharepoint/v3/fields" xsi:nil="true"/>
    <_Publisher xmlns="http://schemas.microsoft.com/sharepoint/v3/fields">Queensland Department of Housing and Public Works</_Publisher>
    <Service1 xmlns="726603ff-323f-461b-beba-bdd911713299">About us</Service1>
    <Copyright_x0020_Status xmlns="726603ff-323f-461b-beba-bdd911713299" xsi:nil="true"/>
    <AGLS_x0020_File_x0020_Type xmlns="726603ff-323f-461b-beba-bdd911713299">report</AGLS_x0020_File_x0020_Type>
    <_Relation xmlns="http://schemas.microsoft.com/sharepoint/v3/fields" xsi:nil="true"/>
    <Availability xmlns="726603ff-323f-461b-beba-bdd911713299" xsi:nil="true"/>
    <Business_x0020_Area xmlns="726603ff-323f-461b-beba-bdd911713299">Dept corporate</Business_x0020_Area>
    <_Contributor xmlns="http://schemas.microsoft.com/sharepoint/v3/fields" xsi:nil="true"/>
    <_Format xmlns="http://schemas.microsoft.com/sharepoint/v3/fields" xsi:nil="true"/>
    <_Coverage xmlns="http://schemas.microsoft.com/sharepoint/v3/fields">Queensland</_Coverage>
    <_Identifier xmlns="http://schemas.microsoft.com/sharepoint/v3/fields" xsi:nil="true"/>
    <_ResourceType xmlns="http://schemas.microsoft.com/sharepoint/v3/fields" xsi:nil="true"/>
    <PublishingContact xmlns="http://schemas.microsoft.com/sharepoint/v3">
      <UserInfo>
        <DisplayName>SEGUIN Toni</DisplayName>
        <AccountId>1727</AccountId>
        <AccountType/>
      </UserInfo>
    </PublishingContact>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W Document" ma:contentTypeID="0x01010B002B443A8F8345DD4DB9EECA380C118F490200B6441F79649A2E4DADD89CA0FBD7FCD0" ma:contentTypeVersion="15" ma:contentTypeDescription="" ma:contentTypeScope="" ma:versionID="eafc0120baae45bb555e57a626ab56f4">
  <xsd:schema xmlns:xsd="http://www.w3.org/2001/XMLSchema" xmlns:xs="http://www.w3.org/2001/XMLSchema" xmlns:p="http://schemas.microsoft.com/office/2006/metadata/properties" xmlns:ns1="http://schemas.microsoft.com/sharepoint/v3" xmlns:ns2="http://schemas.microsoft.com/sharepoint/v3/fields" xmlns:ns3="726603ff-323f-461b-beba-bdd911713299" targetNamespace="http://schemas.microsoft.com/office/2006/metadata/properties" ma:root="true" ma:fieldsID="aacab03a84c03b8f5243f6077e16886a" ns1:_="" ns2:_="" ns3:_="">
    <xsd:import namespace="http://schemas.microsoft.com/sharepoint/v3"/>
    <xsd:import namespace="http://schemas.microsoft.com/sharepoint/v3/fields"/>
    <xsd:import namespace="726603ff-323f-461b-beba-bdd911713299"/>
    <xsd:element name="properties">
      <xsd:complexType>
        <xsd:sequence>
          <xsd:element name="documentManagement">
            <xsd:complexType>
              <xsd:all>
                <xsd:element ref="ns3:Security" minOccurs="0"/>
                <xsd:element ref="ns3:Business_x0020_Area" minOccurs="0"/>
                <xsd:element ref="ns3:Service1" minOccurs="0"/>
                <xsd:element ref="ns1:PublishingContact" minOccurs="0"/>
                <xsd:element ref="ns1:Language" minOccurs="0"/>
                <xsd:element ref="ns2:_Coverage" minOccurs="0"/>
                <xsd:element ref="ns3:Creator" minOccurs="0"/>
                <xsd:element ref="ns2:_Publisher" minOccurs="0"/>
                <xsd:element ref="ns3:Rights" minOccurs="0"/>
                <xsd:element ref="ns3:Availability" minOccurs="0"/>
                <xsd:element ref="ns2:_Identifier" minOccurs="0"/>
                <xsd:element ref="ns2:_Contributor" minOccurs="0"/>
                <xsd:element ref="ns3:AGLS_x0020_File_x0020_Type" minOccurs="0"/>
                <xsd:element ref="ns2:_DCDateCreated" minOccurs="0"/>
                <xsd:element ref="ns2:_Format" minOccurs="0"/>
                <xsd:element ref="ns2:_Relation" minOccurs="0"/>
                <xsd:element ref="ns2:_Source" minOccurs="0"/>
                <xsd:element ref="ns2:_ResourceType" minOccurs="0"/>
                <xsd:element ref="ns3:Copyright_x0020_Status" minOccurs="0"/>
                <xsd:element ref="ns2: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7" nillable="true" ma:displayName="Contact"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8" nillable="true"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9" nillable="true" ma:displayName="Coverage" ma:default="Queensland" ma:description="The extent or scope" ma:internalName="_Coverage" ma:readOnly="false">
      <xsd:simpleType>
        <xsd:restriction base="dms:Text">
          <xsd:maxLength value="255"/>
        </xsd:restriction>
      </xsd:simpleType>
    </xsd:element>
    <xsd:element name="_Publisher" ma:index="11" nillable="true" ma:displayName="Publisher" ma:default="Queensland Department of Housing and Public Works" ma:description="The person, organization or service that published this resource" ma:internalName="_Publisher" ma:readOnly="false">
      <xsd:simpleType>
        <xsd:restriction base="dms:Text">
          <xsd:maxLength value="255"/>
        </xsd:restriction>
      </xsd:simpleType>
    </xsd:element>
    <xsd:element name="_Identifier" ma:index="14" nillable="true" ma:displayName="Resource Identifier" ma:description="An identifying string or number, usually conforming to a formal identification system" ma:internalName="_Identifier">
      <xsd:simpleType>
        <xsd:restriction base="dms:Text"/>
      </xsd:simpleType>
    </xsd:element>
    <xsd:element name="_Contributor" ma:index="15" nillable="true" ma:displayName="Contributor" ma:description="One or more people or organizations that contributed to this resource" ma:internalName="_Contributor">
      <xsd:simpleType>
        <xsd:restriction base="dms:Note">
          <xsd:maxLength value="255"/>
        </xsd:restriction>
      </xsd:simpleType>
    </xsd:element>
    <xsd:element name="_DCDateCreated" ma:index="17" nillable="true" ma:displayName="Date Created" ma:description="The date on which this resource was created" ma:format="DateTime" ma:hidden="true" ma:internalName="_DCDateCreated" ma:readOnly="false">
      <xsd:simpleType>
        <xsd:restriction base="dms:DateTime"/>
      </xsd:simpleType>
    </xsd:element>
    <xsd:element name="_Format" ma:index="18" nillable="true" ma:displayName="Format" ma:description="Media-type, file format or dimensions" ma:hidden="true" ma:internalName="_Format" ma:readOnly="false">
      <xsd:simpleType>
        <xsd:restriction base="dms:Text"/>
      </xsd:simpleType>
    </xsd:element>
    <xsd:element name="_Relation" ma:index="19" nillable="true" ma:displayName="Relation" ma:description="References to related resources" ma:hidden="true" ma:internalName="_Relation" ma:readOnly="false">
      <xsd:simpleType>
        <xsd:restriction base="dms:Note"/>
      </xsd:simpleType>
    </xsd:element>
    <xsd:element name="_Source" ma:index="20" nillable="true" ma:displayName="Source" ma:description="References to resources from which this resource was derived" ma:hidden="true" ma:internalName="_Source" ma:readOnly="false">
      <xsd:simpleType>
        <xsd:restriction base="dms:Note"/>
      </xsd:simpleType>
    </xsd:element>
    <xsd:element name="_ResourceType" ma:index="22" nillable="true" ma:displayName="Resource Type" ma:description="A set of categories, functions, genres or aggregation levels" ma:hidden="true" ma:internalName="_ResourceType" ma:readOnly="false">
      <xsd:simpleType>
        <xsd:restriction base="dms:Text"/>
      </xsd:simpleType>
    </xsd:element>
    <xsd:element name="_DCDateModified" ma:index="30" nillable="true" ma:displayName="Date Modified" ma:description="The date on which this resource was last modified" ma:format="DateTime" ma:hidden="tru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6603ff-323f-461b-beba-bdd911713299" elementFormDefault="qualified">
    <xsd:import namespace="http://schemas.microsoft.com/office/2006/documentManagement/types"/>
    <xsd:import namespace="http://schemas.microsoft.com/office/infopath/2007/PartnerControls"/>
    <xsd:element name="Security" ma:index="4" nillable="true" ma:displayName="Security" ma:default="Public" ma:format="Dropdown" ma:internalName="Security" ma:readOnly="false">
      <xsd:simpleType>
        <xsd:restriction base="dms:Choice">
          <xsd:enumeration value="Unclassified"/>
          <xsd:enumeration value="Public"/>
          <xsd:enumeration value="In-confidence"/>
          <xsd:enumeration value="Protected"/>
          <xsd:enumeration value="Highly protected"/>
        </xsd:restriction>
      </xsd:simpleType>
    </xsd:element>
    <xsd:element name="Business_x0020_Area" ma:index="5" nillable="true" ma:displayName="Business Area" ma:format="Dropdown" ma:internalName="Business_x0020_Area">
      <xsd:simpleType>
        <xsd:restriction base="dms:Choice">
          <xsd:enumeration value="Dept corporate"/>
          <xsd:enumeration value="Housing Services"/>
          <xsd:enumeration value="Building and Asset Services"/>
          <xsd:enumeration value="Office of the Registrar"/>
          <xsd:enumeration value="Procurement Transformation"/>
          <xsd:enumeration value="Building Industry and Policy"/>
          <xsd:enumeration value="Bldg Codes Qld"/>
          <xsd:enumeration value="Goprint"/>
          <xsd:enumeration value="Project Services"/>
          <xsd:enumeration value="QBuild"/>
          <xsd:enumeration value="QFleet"/>
          <xsd:enumeration value="QGCPO"/>
          <xsd:enumeration value="SDS"/>
          <xsd:enumeration value="SGS"/>
          <xsd:enumeration value="Works"/>
        </xsd:restriction>
      </xsd:simpleType>
    </xsd:element>
    <xsd:element name="Service1" ma:index="6" nillable="true" ma:displayName="Service" ma:format="Dropdown" ma:internalName="Service1">
      <xsd:simpleType>
        <xsd:restriction base="dms:Choice">
          <xsd:enumeration value="Construction"/>
          <xsd:enumeration value="Housing"/>
          <xsd:enumeration value="Facilities management"/>
          <xsd:enumeration value="Heritage"/>
          <xsd:enumeration value="Procurement"/>
          <xsd:enumeration value="ICT"/>
          <xsd:enumeration value="Supply and disposal"/>
          <xsd:enumeration value="Vehicles"/>
          <xsd:enumeration value="About us"/>
          <xsd:enumeration value="Kiosk"/>
        </xsd:restriction>
      </xsd:simpleType>
    </xsd:element>
    <xsd:element name="Creator" ma:index="10" nillable="true" ma:displayName="Creator" ma:default="Queensland Department of Housing and Public Works" ma:internalName="Creator" ma:readOnly="false">
      <xsd:simpleType>
        <xsd:restriction base="dms:Text">
          <xsd:maxLength value="255"/>
        </xsd:restriction>
      </xsd:simpleType>
    </xsd:element>
    <xsd:element name="Rights" ma:index="12" nillable="true" ma:displayName="Rights" ma:default="State of Queensland (Department of Housing and Public Works)" ma:internalName="Rights" ma:readOnly="false">
      <xsd:simpleType>
        <xsd:restriction base="dms:Text">
          <xsd:maxLength value="255"/>
        </xsd:restriction>
      </xsd:simpleType>
    </xsd:element>
    <xsd:element name="Availability" ma:index="13" nillable="true" ma:displayName="Availability" ma:description="If available offline, explain how.&#10;(AGLS conditional requirement)" ma:internalName="Availability" ma:readOnly="false">
      <xsd:simpleType>
        <xsd:restriction base="dms:Note">
          <xsd:maxLength value="255"/>
        </xsd:restriction>
      </xsd:simpleType>
    </xsd:element>
    <xsd:element name="AGLS_x0020_File_x0020_Type" ma:index="16" nillable="true" ma:displayName="AGLS File Type Document" ma:description="Categorise items to AGLS standard file types." ma:format="Dropdown" ma:internalName="AGLS_x0020_File_x0020_Type" ma:readOnly="false">
      <xsd:simpleType>
        <xsd:restriction base="dms:Choice">
          <xsd:enumeration value="agenda"/>
          <xsd:enumeration value="agreement"/>
          <xsd:enumeration value="brochure"/>
          <xsd:enumeration value="checklist"/>
          <xsd:enumeration value="contract"/>
          <xsd:enumeration value="fact sheet"/>
          <xsd:enumeration value="form"/>
          <xsd:enumeration value="government gazette"/>
          <xsd:enumeration value="guidelines"/>
          <xsd:enumeration value="journal"/>
          <xsd:enumeration value="letter"/>
          <xsd:enumeration value="log"/>
          <xsd:enumeration value="media release"/>
          <xsd:enumeration value="meeting minutes"/>
          <xsd:enumeration value="memorandum"/>
          <xsd:enumeration value="newsletter"/>
          <xsd:enumeration value="policy statement"/>
          <xsd:enumeration value="procedure"/>
          <xsd:enumeration value="presentation"/>
          <xsd:enumeration value="report"/>
          <xsd:enumeration value="template"/>
        </xsd:restriction>
      </xsd:simpleType>
    </xsd:element>
    <xsd:element name="Copyright_x0020_Status" ma:index="29" nillable="true" ma:displayName="Copyright Status" ma:format="Dropdown" ma:hidden="true" ma:internalName="Copyright_x0020_Status" ma:readOnly="false">
      <xsd:simpleType>
        <xsd:restriction base="dms:Choice">
          <xsd:enumeration value="Attribution (BY),"/>
          <xsd:enumeration value="Attribution Non Commercial (BY-NC)"/>
          <xsd:enumeration value="Attribution-Share Alike (BY-SA)"/>
          <xsd:enumeration value="Attribution – No Derivatives (BY-ND)"/>
          <xsd:enumeration value="Attribution – Non Commercial – Share Alike (BY-NC-SA)"/>
          <xsd:enumeration value="Attribution – Non Commercial – No Derivatives (BY-NC–ND)"/>
          <xsd:enumeration value="Restricted Lic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ma:displayName="Subject"/>
        <xsd:element ref="dc:description" minOccurs="0" maxOccurs="1" ma:index="2" ma:displayName="Description"/>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11787-6A3C-4E26-B5DE-CD41D63C4B57}"/>
</file>

<file path=customXml/itemProps2.xml><?xml version="1.0" encoding="utf-8"?>
<ds:datastoreItem xmlns:ds="http://schemas.openxmlformats.org/officeDocument/2006/customXml" ds:itemID="{AC2915CE-FF83-499E-B818-8351050EC2D7}"/>
</file>

<file path=customXml/itemProps3.xml><?xml version="1.0" encoding="utf-8"?>
<ds:datastoreItem xmlns:ds="http://schemas.openxmlformats.org/officeDocument/2006/customXml" ds:itemID="{07B069B6-80A8-438A-9DD6-A4C0FC4FF0F9}"/>
</file>

<file path=customXml/itemProps4.xml><?xml version="1.0" encoding="utf-8"?>
<ds:datastoreItem xmlns:ds="http://schemas.openxmlformats.org/officeDocument/2006/customXml" ds:itemID="{27B37429-F0A1-40F8-9826-D96798137A04}"/>
</file>

<file path=docProps/app.xml><?xml version="1.0" encoding="utf-8"?>
<Properties xmlns="http://schemas.openxmlformats.org/officeDocument/2006/extended-properties" xmlns:vt="http://schemas.openxmlformats.org/officeDocument/2006/docPropsVTypes">
  <Template>Normal.dotm</Template>
  <TotalTime>93</TotalTime>
  <Pages>104</Pages>
  <Words>33985</Words>
  <Characters>193716</Characters>
  <Application>Microsoft Office Word</Application>
  <DocSecurity>0</DocSecurity>
  <Lines>1614</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2017-2018</dc:title>
  <dc:subject/>
  <dc:creator>Workflow@hpw.qld.gov.au</dc:creator>
  <cp:keywords>annual report; 2017; 2018;</cp:keywords>
  <dc:description/>
  <cp:lastModifiedBy>BRIDGE Kelly</cp:lastModifiedBy>
  <cp:revision>16</cp:revision>
  <cp:lastPrinted>2018-11-01T04:41:00Z</cp:lastPrinted>
  <dcterms:created xsi:type="dcterms:W3CDTF">2018-11-01T03:27:00Z</dcterms:created>
  <dcterms:modified xsi:type="dcterms:W3CDTF">2018-11-06T00:50:00Z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Adobe InDesign CC 13.0 (Windows)</vt:lpwstr>
  </property>
  <property fmtid="{D5CDD505-2E9C-101B-9397-08002B2CF9AE}" pid="4" name="LastSaved">
    <vt:filetime>2018-09-18T00:00:00Z</vt:filetime>
  </property>
  <property fmtid="{D5CDD505-2E9C-101B-9397-08002B2CF9AE}" pid="5" name="ContentTypeId">
    <vt:lpwstr>0x01010B002B443A8F8345DD4DB9EECA380C118F490200B6441F79649A2E4DADD89CA0FBD7FCD0</vt:lpwstr>
  </property>
  <property fmtid="{D5CDD505-2E9C-101B-9397-08002B2CF9AE}" pid="6" name="Order">
    <vt:r8>1418800</vt:r8>
  </property>
  <property fmtid="{D5CDD505-2E9C-101B-9397-08002B2CF9AE}" pid="7" name="xd_Signature">
    <vt:bool>false</vt:bool>
  </property>
  <property fmtid="{D5CDD505-2E9C-101B-9397-08002B2CF9AE}" pid="8" name="xd_ProgID">
    <vt:lpwstr/>
  </property>
  <property fmtid="{D5CDD505-2E9C-101B-9397-08002B2CF9AE}" pid="10" name="wic_System_Copyright">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y fmtid="{D5CDD505-2E9C-101B-9397-08002B2CF9AE}" pid="15" name="_RightsManagement">
    <vt:lpwstr/>
  </property>
  <property fmtid="{D5CDD505-2E9C-101B-9397-08002B2CF9AE}" pid="16" name="vti_imgdate">
    <vt:lpwstr/>
  </property>
</Properties>
</file>